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D69" w:rsidRPr="00191710" w:rsidRDefault="00FB3D69" w:rsidP="00FB3D69">
      <w:pPr>
        <w:jc w:val="center"/>
        <w:rPr>
          <w:rFonts w:ascii="Times New Roman" w:hAnsi="Times New Roman"/>
          <w:color w:val="002776"/>
          <w:sz w:val="48"/>
          <w:szCs w:val="70"/>
        </w:rPr>
      </w:pPr>
      <w:r>
        <w:rPr>
          <w:rFonts w:ascii="Times New Roman" w:hAnsi="Times New Roman"/>
          <w:color w:val="002776"/>
          <w:sz w:val="48"/>
        </w:rPr>
        <w:t>Ex-ante assessment of the use of a financial instrument in the IROP</w:t>
      </w:r>
    </w:p>
    <w:p w:rsidR="00D32551" w:rsidRPr="00112E71" w:rsidRDefault="00D32551" w:rsidP="00D32551">
      <w:pPr>
        <w:pStyle w:val="Heading2"/>
        <w:jc w:val="center"/>
        <w:rPr>
          <w:color w:val="92D400" w:themeColor="accent2"/>
        </w:rPr>
      </w:pPr>
      <w:r>
        <w:rPr>
          <w:color w:val="92D400" w:themeColor="accent2"/>
        </w:rPr>
        <w:t>Annex no. 3 Final Project Report</w:t>
      </w:r>
    </w:p>
    <w:p w:rsidR="00D32551" w:rsidRPr="00112E71" w:rsidRDefault="00590A52" w:rsidP="00D32551">
      <w:pPr>
        <w:pStyle w:val="Heading2"/>
        <w:jc w:val="center"/>
        <w:rPr>
          <w:color w:val="92D400" w:themeColor="accent2"/>
        </w:rPr>
      </w:pPr>
      <w:r>
        <w:rPr>
          <w:color w:val="92D400" w:themeColor="accent2"/>
        </w:rPr>
        <w:t>Evaluation of complementarities with bargain bank products in the Czech Republic</w:t>
      </w:r>
    </w:p>
    <w:p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027B90" w:rsidRDefault="00027B90" w:rsidP="00B90BFB">
      <w:pPr/>
    </w:p>
    <w:p w:rsidR="00B90BFB" w:rsidRDefault="00027B90" w:rsidP="00027B90">
      <w:pPr>
        <w:spacing w:after="0" w:line="240" w:lineRule="auto"/>
      </w:pPr>
      <w:r>
        <w:t xml:space="preserve">The products stated hereunder and their characteristics corresponded with the applicable state at the moment of performance of ex-ante assessment. </w:t>
      </w:r>
      <w:r>
        <w:t xml:space="preserve">For many of the products, it was not possible to ascertain the period of validity of offer or how much allocation is available; these specifications were not specified not even directly by the representatives of the banking association. </w:t>
      </w:r>
      <w:r>
        <w:t>It is therefore necessary to handle the stated data with due care.</w:t>
      </w:r>
    </w:p>
    <w:p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027B90" w:rsidRPr="00B90BFB" w:rsidRDefault="00027B90" w:rsidP="00027B90">
      <w:pPr>
        <w:spacing w:after="0" w:line="240" w:lineRule="auto"/>
      </w:pPr>
    </w:p>
    <w:tbl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blPr xmlns:w="http://schemas.openxmlformats.org/wordprocessingml/2006/main">
        <w:tblStyle w:val="GridTable4Accent2"/>
        <w:tblW w:w="13812" w:type="dxa"/>
        <w:jc w:val="center"/>
        <w:tblLayout w:type="fixed"/>
        <w:tblLook w:val="04A0" w:firstRow="1" w:lastRow="0" w:firstColumn="1" w:lastColumn="0" w:noHBand="0" w:noVBand="1"/>
      </w:tblPr>
      <w:tblGrid>
        <w:gridCol w:w="1559"/>
        <w:gridCol w:w="1154"/>
        <w:gridCol w:w="2160"/>
        <w:gridCol w:w="4483"/>
        <w:gridCol w:w="1579"/>
        <w:gridCol w:w="1391"/>
        <w:gridCol w:w="1486"/>
      </w:tblGrid>
      <w:tr w:rsidR="00855334" w:rsidRPr="00451074" w:rsidTr="00B831F7">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D32551" w:rsidRDefault="00855334" w:rsidP="00B90BFB">
            <w:pPr>
              <w:jc w:val="center"/>
              <w:rPr>
                <w:rFonts w:ascii="Arial" w:hAnsi="Arial" w:cs="Arial"/>
                <w:sz w:val="19"/>
                <w:szCs w:val="19"/>
              </w:rPr>
            </w:pPr>
            <w:r>
              <w:rPr>
                <w:rFonts w:ascii="Arial" w:hAnsi="Arial"/>
                <w:sz w:val="19"/>
              </w:rPr>
              <w:t>Institution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D32551" w:rsidRDefault="00855334" w:rsidP="00B90B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Investment plan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D32551" w:rsidRDefault="00855334" w:rsidP="00B90B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Applicant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D32551" w:rsidRDefault="00855334" w:rsidP="00B90B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What it can obtain financing for</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D32551" w:rsidRDefault="00855334" w:rsidP="00B90B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Volume of financial resources for the project</w:t>
            </w:r>
          </w:p>
          <w:p w:rsidR="00855334" w:rsidRPr="00D32551" w:rsidRDefault="00855334" w:rsidP="00C4531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D32551" w:rsidRDefault="00855334" w:rsidP="00B90B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Sources of funding</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D32551" w:rsidRDefault="00855334" w:rsidP="00B90B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9"/>
                <w:szCs w:val="19"/>
              </w:rPr>
            </w:pPr>
            <w:r>
              <w:rPr>
                <w:rFonts w:ascii="Arial" w:hAnsi="Arial"/>
                <w:sz w:val="19"/>
              </w:rPr>
              <w:t>Sources of financing</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100" w:line="260" w:lineRule="auto"/>
              <w:ind w:left="0"/>
              <w:jc w:val="both"/>
              <w:outlineLvl w:val="0"/>
              <w:rPr>
                <w:rFonts w:ascii="Arial" w:hAnsi="Arial" w:cs="Arial"/>
                <w:bCs/>
                <w:color w:val="000000" w:themeColor="text1"/>
                <w:sz w:val="19"/>
                <w:szCs w:val="19"/>
                <w:lang/>
              </w:rPr>
            </w:pPr>
            <w:r>
              <w:rPr>
                <w:rFonts w:ascii="Arial" w:hAnsi="Arial"/>
                <w:color w:val="000000" w:themeColor="text1"/>
                <w:sz w:val="19"/>
              </w:rPr>
              <w:t>Arx Equity Partners Limited</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medium sized enterprise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investment in the registered capital of the company in various industrial sectors, companies that provide services to natural subjects and corporate customers, companies operating in the medical, retail or distribution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w w:val="105"/>
                <w:sz w:val="19"/>
              </w:rPr>
              <w:t>more than CZK 5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EIF</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equity capital / venture capital</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ind w:left="0"/>
              <w:outlineLvl w:val="0"/>
              <w:rPr>
                <w:rFonts w:ascii="Arial" w:hAnsi="Arial" w:cs="Arial"/>
                <w:color w:val="000000" w:themeColor="text1"/>
                <w:sz w:val="19"/>
                <w:szCs w:val="19"/>
                <w:lang/>
              </w:rPr>
            </w:pPr>
            <w:r>
              <w:rPr>
                <w:rFonts w:ascii="Arial" w:hAnsi="Arial"/>
                <w:color w:val="000000" w:themeColor="text1"/>
                <w:sz w:val="19"/>
              </w:rPr>
              <w:t>Česká spořitelna</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all sectors / general, research, development and innovation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pStyle w:val="BodyText"/>
              <w:tabs>
                <w:tab w:val="left" w:pos="2284"/>
                <w:tab w:val="left" w:pos="4528"/>
              </w:tabs>
              <w:spacing w:before="77"/>
              <w:ind w:left="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lang/>
              </w:rPr>
            </w:pPr>
            <w:r>
              <w:rPr>
                <w:rFonts w:ascii="Arial" w:hAnsi="Arial"/>
                <w:color w:val="000000" w:themeColor="text1"/>
                <w:sz w:val="19"/>
              </w:rPr>
              <w:t>small and medium-sized enterprises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BodyText"/>
              <w:tabs>
                <w:tab w:val="left" w:pos="2284"/>
                <w:tab w:val="left" w:pos="4528"/>
              </w:tabs>
              <w:spacing w:before="77"/>
              <w:ind w:left="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lang/>
              </w:rPr>
            </w:pPr>
            <w:r>
              <w:rPr>
                <w:rFonts w:ascii="Arial" w:hAnsi="Arial"/>
                <w:color w:val="000000" w:themeColor="text1"/>
                <w:w w:val="105"/>
                <w:sz w:val="19"/>
              </w:rPr>
              <w:t>financing of innovative projects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from 25 thousand to 7.5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EIF, EC within the framework of the Risk Sharing Instrument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rPr>
                <w:rFonts w:ascii="Arial" w:hAnsi="Arial" w:cs="Arial"/>
                <w:b w:val="0"/>
                <w:color w:val="000000" w:themeColor="text1"/>
                <w:sz w:val="19"/>
                <w:szCs w:val="19"/>
              </w:rPr>
            </w:pPr>
            <w:r>
              <w:rPr>
                <w:rFonts w:ascii="Arial" w:hAnsi="Arial"/>
                <w:b w:val="0"/>
                <w:color w:val="000000" w:themeColor="text1"/>
                <w:sz w:val="19"/>
              </w:rPr>
              <w:t>Česká spořitelna</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small and medium-sized enterprises, public sector</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9"/>
                <w:szCs w:val="19"/>
              </w:rPr>
            </w:pPr>
            <w:r>
              <w:rPr>
                <w:rFonts w:ascii="Arial" w:hAnsi="Arial"/>
                <w:color w:val="000000" w:themeColor="text1"/>
                <w:sz w:val="19"/>
              </w:rPr>
              <w:t>development of firms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w w:val="105"/>
                <w:sz w:val="19"/>
              </w:rPr>
              <w:t>from 40 thousand to 25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rPr>
                <w:rFonts w:ascii="Arial" w:hAnsi="Arial" w:cs="Arial"/>
                <w:b w:val="0"/>
                <w:color w:val="000000" w:themeColor="text1"/>
                <w:sz w:val="19"/>
                <w:szCs w:val="19"/>
              </w:rPr>
            </w:pPr>
            <w:r>
              <w:rPr>
                <w:rFonts w:ascii="Arial" w:hAnsi="Arial"/>
                <w:b w:val="0"/>
                <w:color w:val="000000" w:themeColor="text1"/>
                <w:sz w:val="19"/>
              </w:rPr>
              <w:t>Česká spořitelna</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small and medium-sized enterprises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ListParagraph"/>
              <w:numPr>
                <w:ilvl w:val="0"/>
                <w:numId w:val="2"/>
              </w:numPr>
              <w:ind w:left="252" w:hanging="252"/>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9"/>
                <w:szCs w:val="19"/>
              </w:rPr>
            </w:pPr>
            <w:r>
              <w:rPr>
                <w:rFonts w:ascii="Arial" w:hAnsi="Arial"/>
                <w:color w:val="000000" w:themeColor="text1"/>
                <w:sz w:val="19"/>
              </w:rPr>
              <w:t>reduction of interest rate by 0.2 %</w:t>
            </w:r>
          </w:p>
          <w:p w:rsidR="00855334" w:rsidRPr="00451074" w:rsidRDefault="00855334" w:rsidP="00B90BFB">
            <w:pPr>
              <w:pStyle w:val="ListParagraph"/>
              <w:numPr>
                <w:ilvl w:val="0"/>
                <w:numId w:val="2"/>
              </w:numPr>
              <w:autoSpaceDE w:val="0"/>
              <w:autoSpaceDN w:val="0"/>
              <w:adjustRightInd w:val="0"/>
              <w:ind w:left="252" w:hanging="252"/>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support of energy savings measures, which reach at least 20 % of the energy savings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European grant at the level of 10 % of the loan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rPr>
                <w:rFonts w:ascii="Arial" w:hAnsi="Arial" w:cs="Arial"/>
                <w:b w:val="0"/>
                <w:color w:val="000000" w:themeColor="text1"/>
                <w:sz w:val="19"/>
                <w:szCs w:val="19"/>
              </w:rPr>
            </w:pPr>
            <w:r>
              <w:rPr>
                <w:rFonts w:ascii="Arial" w:hAnsi="Arial"/>
                <w:b w:val="0"/>
                <w:color w:val="000000" w:themeColor="text1"/>
                <w:sz w:val="19"/>
              </w:rPr>
              <w:t>Českomoravská záruční a rozvojová banka a.s.</w:t>
            </w:r>
          </w:p>
          <w:p w:rsidR="00855334" w:rsidRPr="00451074" w:rsidRDefault="00855334" w:rsidP="00B90BFB">
            <w:pPr>
              <w:rPr>
                <w:rFonts w:ascii="Arial" w:hAnsi="Arial" w:cs="Arial"/>
                <w:b w:val="0"/>
                <w:color w:val="000000" w:themeColor="text1"/>
                <w:sz w:val="19"/>
                <w:szCs w:val="19"/>
              </w:rPr>
            </w:pPr>
            <w:r>
              <w:rPr>
                <w:rFonts w:ascii="Arial" w:hAnsi="Arial"/>
                <w:b w:val="0"/>
                <w:color w:val="000000" w:themeColor="text1"/>
                <w:sz w:val="19"/>
              </w:rPr>
              <w:t>PROGRES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w w:val="105"/>
                <w:sz w:val="19"/>
              </w:rPr>
              <w:t>all sectors in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small and medium sized enterprise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strengthening of the capital base of the entrepreneurs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3146C7"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&lt; CZK 1,000,000</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subordinated loans</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ind w:left="0"/>
              <w:outlineLvl w:val="0"/>
              <w:rPr>
                <w:rFonts w:ascii="Arial" w:hAnsi="Arial" w:cs="Arial"/>
                <w:color w:val="000000" w:themeColor="text1"/>
                <w:sz w:val="19"/>
                <w:szCs w:val="19"/>
                <w:lang/>
              </w:rPr>
            </w:pPr>
            <w:r>
              <w:rPr>
                <w:rFonts w:ascii="Arial" w:hAnsi="Arial"/>
                <w:color w:val="000000" w:themeColor="text1"/>
                <w:sz w:val="19"/>
              </w:rPr>
              <w:t>ČSOB Leasing a.s.</w:t>
            </w:r>
          </w:p>
          <w:p w:rsidR="00855334" w:rsidRPr="00451074" w:rsidRDefault="00855334" w:rsidP="00B90BFB">
            <w:pPr>
              <w:pStyle w:val="Heading1"/>
              <w:ind w:left="0"/>
              <w:outlineLvl w:val="0"/>
              <w:rPr>
                <w:rFonts w:ascii="Arial" w:hAnsi="Arial" w:cs="Arial"/>
                <w:color w:val="000000" w:themeColor="text1"/>
                <w:sz w:val="19"/>
                <w:szCs w:val="19"/>
                <w:lang/>
              </w:rPr>
            </w:pPr>
            <w:r>
              <w:rPr>
                <w:rStyle w:val="Strong"/>
                <w:rFonts w:ascii="Arial" w:hAnsi="Arial"/>
                <w:b w:val="0"/>
                <w:color w:val="000000" w:themeColor="text1"/>
                <w:sz w:val="19"/>
              </w:rPr>
              <w:t>(EUROleasing)</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small and medium sized enterprise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investments in production resources (as a priority for new and used machinery and equipment, trucks and buses – new and used (infrastructure, tourism)</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3146C7"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w w:val="105"/>
                <w:sz w:val="19"/>
              </w:rPr>
              <w:t>from 18.1 million to 12.5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trHeight w:val="116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ind w:left="0"/>
              <w:outlineLvl w:val="0"/>
              <w:rPr>
                <w:rFonts w:ascii="Arial" w:hAnsi="Arial" w:cs="Arial"/>
                <w:color w:val="000000" w:themeColor="text1"/>
                <w:sz w:val="19"/>
                <w:szCs w:val="19"/>
                <w:lang/>
              </w:rPr>
            </w:pPr>
            <w:r>
              <w:rPr>
                <w:rFonts w:ascii="Arial" w:hAnsi="Arial"/>
                <w:color w:val="000000" w:themeColor="text1"/>
                <w:sz w:val="19"/>
              </w:rPr>
              <w:t xml:space="preserve">ČSOB, a. s. </w:t>
            </w:r>
          </w:p>
          <w:p w:rsidR="00855334" w:rsidRPr="00451074" w:rsidRDefault="00855334" w:rsidP="00B90BFB">
            <w:pPr>
              <w:pStyle w:val="Heading1"/>
              <w:ind w:left="0"/>
              <w:outlineLvl w:val="0"/>
              <w:rPr>
                <w:rFonts w:ascii="Arial" w:hAnsi="Arial" w:cs="Arial"/>
                <w:color w:val="000000" w:themeColor="text1"/>
                <w:sz w:val="19"/>
                <w:szCs w:val="19"/>
                <w:lang/>
              </w:rPr>
            </w:pPr>
            <w:r>
              <w:rPr>
                <w:rFonts w:ascii="Arial" w:hAnsi="Arial"/>
                <w:color w:val="000000" w:themeColor="text1"/>
                <w:sz w:val="19"/>
              </w:rPr>
              <w:t>(EU SMART CREDIT)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3146C7">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w w:val="105"/>
                <w:sz w:val="19"/>
              </w:rPr>
              <w:t>all sectors in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 small and medium-sized enterprise with up to 250 employees</w:t>
            </w:r>
          </w:p>
          <w:p w:rsidR="00855334" w:rsidRPr="00451074" w:rsidRDefault="00855334" w:rsidP="00B90BF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 big companies with up to 3,000 employees on consolidated group base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ListParagraph"/>
              <w:numPr>
                <w:ilvl w:val="0"/>
                <w:numId w:val="6"/>
              </w:numPr>
              <w:spacing w:before="100" w:beforeAutospacing="1" w:after="100" w:afterAutospacing="1"/>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investments in the acquisition and technical improvement of tangible assets for business purposes in the area of production or with objective to support growth and competitiveness of the companies</w:t>
            </w:r>
          </w:p>
          <w:p w:rsidR="00855334" w:rsidRPr="00451074" w:rsidRDefault="00855334" w:rsidP="00B90BFB">
            <w:pPr>
              <w:pStyle w:val="ListParagraph"/>
              <w:numPr>
                <w:ilvl w:val="0"/>
                <w:numId w:val="6"/>
              </w:numPr>
              <w:spacing w:before="100" w:beforeAutospacing="1" w:after="100" w:afterAutospacing="1"/>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 acquisition of enterprises within the framework of generation exchange or management buy-out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w w:val="105"/>
                <w:sz w:val="19"/>
              </w:rPr>
              <w:t>up to CZK 12.712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ind w:left="0"/>
              <w:outlineLvl w:val="0"/>
              <w:rPr>
                <w:rFonts w:ascii="Arial" w:hAnsi="Arial" w:cs="Arial"/>
                <w:color w:val="000000" w:themeColor="text1"/>
                <w:sz w:val="19"/>
                <w:szCs w:val="19"/>
                <w:lang/>
              </w:rPr>
            </w:pPr>
            <w:r>
              <w:rPr>
                <w:rFonts w:ascii="Arial" w:hAnsi="Arial"/>
                <w:color w:val="000000" w:themeColor="text1"/>
                <w:sz w:val="19"/>
              </w:rPr>
              <w:t>Darby Private Equity</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p>
        </w:tc>
        <w:tc>
          <w:tcPr>
            <w:tcW w:w="4483"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investments in sectors such as transport, energy, telecommunications, waste management and water treatment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p>
        </w:tc>
        <w:tc>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EIF</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equity capital / venture capital</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East Accession BV</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pStyle w:val="BodyText"/>
              <w:tabs>
                <w:tab w:val="left" w:pos="166"/>
              </w:tabs>
              <w:spacing w:before="80"/>
              <w:ind w:left="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lang/>
              </w:rPr>
            </w:pPr>
          </w:p>
        </w:tc>
        <w:tc>
          <w:tcPr>
            <w:tcW w:w="4483" w:type="dxa"/>
          </w:tcPr>
          <w:p w:rsidR="00855334" w:rsidRPr="00451074" w:rsidRDefault="00855334" w:rsidP="00B90BFB">
            <w:pPr>
              <w:pStyle w:val="BodyText"/>
              <w:tabs>
                <w:tab w:val="left" w:pos="166"/>
              </w:tabs>
              <w:spacing w:before="80"/>
              <w:ind w:left="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lang/>
              </w:rPr>
            </w:pPr>
            <w:r>
              <w:rPr>
                <w:rFonts w:ascii="Arial" w:hAnsi="Arial"/>
                <w:color w:val="000000" w:themeColor="text1"/>
                <w:w w:val="105"/>
                <w:sz w:val="19"/>
              </w:rPr>
              <w:t>investments in successful companies with opportunity to diversify outside the domestic market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pStyle w:val="BodyText"/>
              <w:tabs>
                <w:tab w:val="left" w:pos="166"/>
              </w:tabs>
              <w:spacing w:before="80"/>
              <w:ind w:left="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lang/>
              </w:rPr>
            </w:pPr>
            <w:r>
              <w:rPr>
                <w:rFonts w:ascii="Arial" w:hAnsi="Arial"/>
                <w:color w:val="000000" w:themeColor="text1"/>
                <w:w w:val="105"/>
                <w:sz w:val="19"/>
              </w:rPr>
              <w:t>from 5 to 15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 xml:space="preserve">EIF, </w:t>
            </w:r>
            <w:r>
              <w:rPr>
                <w:rStyle w:val="Emphasis"/>
                <w:rFonts w:ascii="Arial" w:hAnsi="Arial"/>
                <w:b w:val="0"/>
                <w:color w:val="000000" w:themeColor="text1"/>
                <w:sz w:val="19"/>
              </w:rPr>
              <w:t>EBRD</w:t>
            </w:r>
            <w:r>
              <w:rPr>
                <w:rStyle w:val="Emphasis"/>
                <w:rFonts w:ascii="Arial" w:hAnsi="Arial"/>
                <w:color w:val="000000" w:themeColor="text1"/>
                <w:sz w:val="19"/>
              </w:rPr>
              <w:t>,</w:t>
            </w:r>
            <w:r>
              <w:rPr>
                <w:rFonts w:ascii="Arial" w:hAnsi="Arial"/>
                <w:color w:val="000000" w:themeColor="text1"/>
                <w:sz w:val="19"/>
              </w:rPr>
              <w:t xml:space="preserve"> BSTaDB, DEG</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equity capital / venture capital</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Enterprise Investors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small and medium-sized enterprises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financing of company growth</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 xml:space="preserve">from 1 to 6 million CZK </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European Investment Fund</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equity capital / venture capital</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ind w:left="0"/>
              <w:outlineLvl w:val="0"/>
              <w:rPr>
                <w:rFonts w:ascii="Arial" w:hAnsi="Arial" w:cs="Arial"/>
                <w:color w:val="000000" w:themeColor="text1"/>
                <w:sz w:val="19"/>
                <w:szCs w:val="19"/>
                <w:lang/>
              </w:rPr>
            </w:pPr>
            <w:r>
              <w:rPr>
                <w:rFonts w:ascii="Arial" w:hAnsi="Arial"/>
                <w:color w:val="000000" w:themeColor="text1"/>
                <w:sz w:val="19"/>
              </w:rPr>
              <w:t>GE Money Bank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small and medium-sized enterprises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financing of investment projects (construction, reconstruction or acquisition of real estate property and investments in technology and equipment)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3146C7"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from 18.159 thousand to 363.174 thousand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EIF, programme for support of competitiveness and innovation (CIP)</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Komerční banka</w:t>
            </w:r>
          </w:p>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(EuroInovace)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 research, development and innovation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pStyle w:val="BodyText"/>
              <w:tabs>
                <w:tab w:val="left" w:pos="2291"/>
                <w:tab w:val="left" w:pos="4535"/>
              </w:tabs>
              <w:spacing w:before="80"/>
              <w:ind w:left="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lang/>
              </w:rPr>
            </w:pPr>
            <w:r>
              <w:rPr>
                <w:rFonts w:ascii="Arial" w:hAnsi="Arial"/>
                <w:color w:val="000000" w:themeColor="text1"/>
                <w:sz w:val="19"/>
              </w:rPr>
              <w:t>small and medium-sized enterprises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ListParagraph"/>
              <w:numPr>
                <w:ilvl w:val="0"/>
                <w:numId w:val="5"/>
              </w:numPr>
              <w:tabs>
                <w:tab w:val="num" w:pos="72"/>
              </w:tabs>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financing of operational or investment requirements of an innovative entrepreneur, new products, services or processes and significant innovation of products, services or processes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3146C7">
            <w:pPr>
              <w:pStyle w:val="BodyText"/>
              <w:ind w:left="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lang/>
              </w:rPr>
            </w:pPr>
            <w:r>
              <w:rPr>
                <w:rFonts w:ascii="Arial" w:hAnsi="Arial"/>
                <w:color w:val="000000" w:themeColor="text1"/>
                <w:w w:val="105"/>
                <w:sz w:val="19"/>
              </w:rPr>
              <w:t>from 23.606 thousand to 2.796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EIF, Risk sharing finance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Komerční banka a.s.</w:t>
            </w:r>
          </w:p>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(EuroPremium)</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companies with up to 3,000 employees converted to full time employment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ListParagraph"/>
              <w:numPr>
                <w:ilvl w:val="0"/>
                <w:numId w:val="5"/>
              </w:numPr>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tangible assets</w:t>
            </w:r>
          </w:p>
          <w:p w:rsidR="00855334" w:rsidRPr="00451074" w:rsidRDefault="00855334" w:rsidP="00B90BFB">
            <w:pPr>
              <w:pStyle w:val="ListParagraph"/>
              <w:numPr>
                <w:ilvl w:val="0"/>
                <w:numId w:val="5"/>
              </w:numPr>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intangible assets</w:t>
            </w:r>
          </w:p>
          <w:p w:rsidR="00855334" w:rsidRPr="00451074" w:rsidRDefault="00855334" w:rsidP="00B90BFB">
            <w:pPr>
              <w:pStyle w:val="ListParagraph"/>
              <w:numPr>
                <w:ilvl w:val="0"/>
                <w:numId w:val="5"/>
              </w:numPr>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research work</w:t>
            </w:r>
          </w:p>
          <w:p w:rsidR="00855334" w:rsidRPr="00451074" w:rsidRDefault="00855334" w:rsidP="00B90BFB">
            <w:pPr>
              <w:pStyle w:val="ListParagraph"/>
              <w:numPr>
                <w:ilvl w:val="0"/>
                <w:numId w:val="5"/>
              </w:numPr>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planning and financing of costs during the construction stage</w:t>
            </w:r>
          </w:p>
          <w:p w:rsidR="00855334" w:rsidRPr="00451074" w:rsidRDefault="00855334" w:rsidP="00B90BFB">
            <w:pPr>
              <w:pStyle w:val="ListParagraph"/>
              <w:numPr>
                <w:ilvl w:val="0"/>
                <w:numId w:val="5"/>
              </w:numPr>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research and development costs (fees, development, gross wages directly associated with research, improvement and innovation of processes)</w:t>
            </w:r>
          </w:p>
          <w:p w:rsidR="00855334" w:rsidRPr="00451074" w:rsidRDefault="00855334" w:rsidP="00B90BFB">
            <w:pPr>
              <w:pStyle w:val="ListParagraph"/>
              <w:numPr>
                <w:ilvl w:val="0"/>
                <w:numId w:val="5"/>
              </w:numPr>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permanent increase of working capital related to the expansion of business activities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up to CZK 10.895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European Investment Bank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Komerční banka a.s.</w:t>
            </w:r>
          </w:p>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(EuroInovace)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numPr>
                <w:ilvl w:val="0"/>
                <w:numId w:val="11"/>
              </w:numPr>
              <w:tabs>
                <w:tab w:val="clear" w:pos="720"/>
                <w:tab w:val="num" w:pos="252"/>
              </w:tabs>
              <w:spacing w:before="100" w:beforeAutospacing="1" w:after="100" w:afterAutospacing="1"/>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 xml:space="preserve">small and medium-sized enterprises with </w:t>
            </w:r>
            <w:r>
              <w:rPr>
                <w:rFonts w:ascii="Arial" w:hAnsi="Arial"/>
                <w:color w:val="000000" w:themeColor="text1"/>
                <w:sz w:val="19"/>
              </w:rPr>
              <w:t>250 employees and turnover higher than EUR 50 million or total assets up to CZK 1 billion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numPr>
                <w:ilvl w:val="0"/>
                <w:numId w:val="11"/>
              </w:numPr>
              <w:tabs>
                <w:tab w:val="clear" w:pos="720"/>
              </w:tabs>
              <w:spacing w:before="100" w:beforeAutospacing="1" w:after="100" w:afterAutospacing="1"/>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for quick implementation of new production technologies, efficient innovation of production processes or procedures</w:t>
            </w:r>
          </w:p>
          <w:p w:rsidR="00855334" w:rsidRPr="00451074" w:rsidRDefault="00855334" w:rsidP="00B90BFB">
            <w:pPr>
              <w:numPr>
                <w:ilvl w:val="0"/>
                <w:numId w:val="11"/>
              </w:numPr>
              <w:tabs>
                <w:tab w:val="clear" w:pos="720"/>
              </w:tabs>
              <w:spacing w:before="100" w:beforeAutospacing="1" w:after="100" w:afterAutospacing="1"/>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financing of own projects in the area of research and development</w:t>
            </w:r>
          </w:p>
          <w:p w:rsidR="00855334" w:rsidRPr="00451074" w:rsidRDefault="00855334" w:rsidP="00B90BFB">
            <w:pPr>
              <w:numPr>
                <w:ilvl w:val="0"/>
                <w:numId w:val="11"/>
              </w:numPr>
              <w:tabs>
                <w:tab w:val="clear" w:pos="720"/>
              </w:tabs>
              <w:spacing w:before="100" w:beforeAutospacing="1" w:after="100" w:afterAutospacing="1"/>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more frequent and efficient launch of new products or services on the market and acquisition of a competitive advantage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3146C7" w:rsidP="003146C7">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w w:val="105"/>
                <w:sz w:val="19"/>
              </w:rPr>
              <w:t>from 23.606 thousand to 2.796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European Investment Bank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Komerční banka a.s.</w:t>
            </w:r>
          </w:p>
          <w:p w:rsidR="00855334" w:rsidRPr="00451074" w:rsidRDefault="00855334" w:rsidP="00B90BFB">
            <w:pPr>
              <w:pStyle w:val="Heading1"/>
              <w:spacing w:before="80"/>
              <w:ind w:left="0"/>
              <w:outlineLvl w:val="0"/>
              <w:rPr>
                <w:rFonts w:ascii="Arial" w:hAnsi="Arial" w:cs="Arial"/>
                <w:color w:val="000000" w:themeColor="text1"/>
                <w:sz w:val="19"/>
                <w:szCs w:val="19"/>
                <w:lang/>
              </w:rPr>
            </w:pPr>
            <w:r>
              <w:rPr>
                <w:rFonts w:ascii="Arial" w:hAnsi="Arial"/>
                <w:color w:val="000000" w:themeColor="text1"/>
                <w:sz w:val="19"/>
              </w:rPr>
              <w:t>(EuroPremium Young)</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numPr>
                <w:ilvl w:val="0"/>
                <w:numId w:val="11"/>
              </w:numPr>
              <w:tabs>
                <w:tab w:val="clear" w:pos="720"/>
                <w:tab w:val="num" w:pos="252"/>
              </w:tabs>
              <w:spacing w:before="100" w:beforeAutospacing="1" w:after="100" w:afterAutospacing="1"/>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 company that has employed at least one young person (large company . five young people) in the last 6 months and still employs them, or if it undertakes that it shall employ them in the next half-year</w:t>
            </w:r>
          </w:p>
          <w:p w:rsidR="00855334" w:rsidRPr="00451074" w:rsidRDefault="00855334" w:rsidP="00B90BFB">
            <w:pPr>
              <w:numPr>
                <w:ilvl w:val="0"/>
                <w:numId w:val="11"/>
              </w:numPr>
              <w:tabs>
                <w:tab w:val="clear" w:pos="720"/>
                <w:tab w:val="num" w:pos="252"/>
              </w:tabs>
              <w:spacing w:before="100" w:beforeAutospacing="1" w:after="100" w:afterAutospacing="1"/>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 company, which offers professional education, practical experience or attachments for students</w:t>
            </w:r>
          </w:p>
          <w:p w:rsidR="00855334" w:rsidRPr="00451074" w:rsidRDefault="00855334" w:rsidP="00B90BFB">
            <w:pPr>
              <w:numPr>
                <w:ilvl w:val="0"/>
                <w:numId w:val="11"/>
              </w:numPr>
              <w:tabs>
                <w:tab w:val="clear" w:pos="720"/>
                <w:tab w:val="num" w:pos="252"/>
              </w:tabs>
              <w:spacing w:before="100" w:beforeAutospacing="1" w:after="100" w:afterAutospacing="1"/>
              <w:ind w:left="252" w:hanging="25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 company, which co-operates with a technical school or university in programmes for employment of young people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numPr>
                <w:ilvl w:val="1"/>
                <w:numId w:val="9"/>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tangible assets</w:t>
            </w:r>
          </w:p>
          <w:p w:rsidR="00855334" w:rsidRPr="00451074" w:rsidRDefault="00855334" w:rsidP="00B90BFB">
            <w:pPr>
              <w:numPr>
                <w:ilvl w:val="1"/>
                <w:numId w:val="9"/>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 xml:space="preserve">intangible assets </w:t>
            </w:r>
            <w:r>
              <w:rPr>
                <w:rFonts w:ascii="Arial" w:hAnsi="Arial"/>
                <w:color w:val="000000" w:themeColor="text1"/>
                <w:sz w:val="19"/>
              </w:rPr>
              <w:t>(research work, planning and financing of costs during the construction stage, research and development costs, etc.),</w:t>
            </w:r>
          </w:p>
          <w:p w:rsidR="00855334" w:rsidRPr="00451074" w:rsidRDefault="00855334" w:rsidP="00B90BFB">
            <w:pPr>
              <w:numPr>
                <w:ilvl w:val="1"/>
                <w:numId w:val="9"/>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permanent increase of working capital related to the expansion of business activities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1F45FF"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w w:val="105"/>
                <w:sz w:val="19"/>
                <w:szCs w:val="19"/>
              </w:rPr>
            </w:pPr>
            <w:r>
              <w:rPr>
                <w:rFonts w:ascii="Arial" w:hAnsi="Arial"/>
                <w:color w:val="000000" w:themeColor="text1"/>
                <w:sz w:val="19"/>
              </w:rPr>
              <w:t>up to CZK 10.895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European Investment Bank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TableParagraph"/>
              <w:spacing w:before="38" w:line="260" w:lineRule="auto"/>
              <w:rPr>
                <w:rFonts w:ascii="Arial" w:hAnsi="Arial" w:cs="Arial"/>
                <w:b w:val="0"/>
                <w:color w:val="000000" w:themeColor="text1"/>
                <w:sz w:val="19"/>
                <w:szCs w:val="19"/>
                <w:lang/>
              </w:rPr>
            </w:pPr>
            <w:r>
              <w:rPr>
                <w:rFonts w:ascii="Arial" w:hAnsi="Arial"/>
                <w:b w:val="0"/>
                <w:color w:val="000000" w:themeColor="text1"/>
                <w:sz w:val="19"/>
              </w:rPr>
              <w:t>Pontis Venture Partners Management GmbH</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ICT sector, Life Sciences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innovative and technologically advanced medium large enterprise (annual turnover EUR 2 - 40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TableParagraph"/>
              <w:numPr>
                <w:ilvl w:val="0"/>
                <w:numId w:val="13"/>
              </w:numPr>
              <w:spacing w:before="38"/>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w w:val="110"/>
                <w:sz w:val="19"/>
              </w:rPr>
              <w:t>ICT (IT operations, electronics and media)</w:t>
            </w:r>
          </w:p>
          <w:p w:rsidR="00855334" w:rsidRPr="00451074" w:rsidRDefault="00855334" w:rsidP="00B90BFB">
            <w:pPr>
              <w:pStyle w:val="TableParagraph"/>
              <w:numPr>
                <w:ilvl w:val="0"/>
                <w:numId w:val="13"/>
              </w:numPr>
              <w:spacing w:before="38"/>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w w:val="110"/>
                <w:sz w:val="19"/>
              </w:rPr>
              <w:t>Cleantech (environmental technology - energy efficiency, water and water management, recycling)</w:t>
            </w:r>
          </w:p>
          <w:p w:rsidR="00855334" w:rsidRPr="00451074" w:rsidRDefault="00855334" w:rsidP="00B90BFB">
            <w:pPr>
              <w:pStyle w:val="TableParagraph"/>
              <w:numPr>
                <w:ilvl w:val="0"/>
                <w:numId w:val="13"/>
              </w:numPr>
              <w:spacing w:before="38"/>
              <w:ind w:left="252" w:hanging="252"/>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w w:val="110"/>
                <w:sz w:val="19"/>
              </w:rPr>
              <w:t>Medtech/new materials (health resources, diagnostics, new materials and chemistry)</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w w:val="105"/>
                <w:sz w:val="19"/>
                <w:szCs w:val="19"/>
                <w:lang/>
              </w:rPr>
            </w:pPr>
            <w:r>
              <w:rPr>
                <w:rFonts w:ascii="Arial" w:hAnsi="Arial"/>
                <w:color w:val="000000" w:themeColor="text1"/>
                <w:w w:val="110"/>
                <w:sz w:val="19"/>
              </w:rPr>
              <w:t>from 1 to 5 million CZK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EIF</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equity capital / venture</w:t>
            </w:r>
          </w:p>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capital</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TableParagraph"/>
              <w:spacing w:before="38"/>
              <w:rPr>
                <w:rFonts w:ascii="Arial" w:hAnsi="Arial" w:cs="Arial"/>
                <w:b w:val="0"/>
                <w:color w:val="000000" w:themeColor="text1"/>
                <w:sz w:val="19"/>
                <w:szCs w:val="19"/>
                <w:lang/>
              </w:rPr>
            </w:pPr>
            <w:r>
              <w:rPr>
                <w:rFonts w:ascii="Arial" w:hAnsi="Arial"/>
                <w:b w:val="0"/>
                <w:color w:val="000000" w:themeColor="text1"/>
                <w:sz w:val="19"/>
              </w:rPr>
              <w:t>Raiffeisenbank</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w w:val="110"/>
                <w:sz w:val="19"/>
              </w:rPr>
              <w:t>medium large enterprise with up to 250 employees converted to FTE</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ListParagraph"/>
              <w:numPr>
                <w:ilvl w:val="0"/>
                <w:numId w:val="14"/>
              </w:numPr>
              <w:autoSpaceDE w:val="0"/>
              <w:autoSpaceDN w:val="0"/>
              <w:adjustRightInd w:val="0"/>
              <w:ind w:left="252" w:hanging="270"/>
              <w:cnfStyle w:val="000000100000" w:firstRow="0" w:lastRow="0" w:firstColumn="0" w:lastColumn="0" w:oddVBand="0" w:evenVBand="0" w:oddHBand="1"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tangible assets</w:t>
            </w:r>
          </w:p>
          <w:p w:rsidR="00855334" w:rsidRPr="00451074" w:rsidRDefault="00855334" w:rsidP="00B90BFB">
            <w:pPr>
              <w:pStyle w:val="ListParagraph"/>
              <w:numPr>
                <w:ilvl w:val="0"/>
                <w:numId w:val="14"/>
              </w:numPr>
              <w:autoSpaceDE w:val="0"/>
              <w:autoSpaceDN w:val="0"/>
              <w:adjustRightInd w:val="0"/>
              <w:ind w:left="252" w:hanging="270"/>
              <w:cnfStyle w:val="000000100000" w:firstRow="0" w:lastRow="0" w:firstColumn="0" w:lastColumn="0" w:oddVBand="0" w:evenVBand="0" w:oddHBand="1"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intangible assets</w:t>
            </w:r>
          </w:p>
          <w:p w:rsidR="00855334" w:rsidRPr="00451074" w:rsidRDefault="00855334" w:rsidP="00B90BFB">
            <w:pPr>
              <w:pStyle w:val="ListParagraph"/>
              <w:autoSpaceDE w:val="0"/>
              <w:autoSpaceDN w:val="0"/>
              <w:adjustRightInd w:val="0"/>
              <w:ind w:left="252"/>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 xml:space="preserve">- research work </w:t>
            </w:r>
          </w:p>
          <w:p w:rsidR="00855334" w:rsidRPr="00451074" w:rsidRDefault="00855334" w:rsidP="00B90BFB">
            <w:pPr>
              <w:pStyle w:val="ListParagraph"/>
              <w:autoSpaceDE w:val="0"/>
              <w:autoSpaceDN w:val="0"/>
              <w:adjustRightInd w:val="0"/>
              <w:ind w:left="252"/>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 planning and financing of costs during the construction stage</w:t>
            </w:r>
          </w:p>
          <w:p w:rsidR="00855334" w:rsidRPr="00451074" w:rsidRDefault="00855334" w:rsidP="00B90BFB">
            <w:pPr>
              <w:pStyle w:val="ListParagraph"/>
              <w:autoSpaceDE w:val="0"/>
              <w:autoSpaceDN w:val="0"/>
              <w:adjustRightInd w:val="0"/>
              <w:ind w:left="252"/>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 research and development costs (fees, development, gross wages directly associated with research, improvement and innovation of processes)</w:t>
            </w:r>
          </w:p>
          <w:p w:rsidR="00855334" w:rsidRPr="00451074" w:rsidRDefault="00855334" w:rsidP="00B90BFB">
            <w:pPr>
              <w:pStyle w:val="ListParagraph"/>
              <w:autoSpaceDE w:val="0"/>
              <w:autoSpaceDN w:val="0"/>
              <w:adjustRightInd w:val="0"/>
              <w:ind w:left="252"/>
              <w:cnfStyle w:val="000000100000" w:firstRow="0" w:lastRow="0" w:firstColumn="0" w:lastColumn="0" w:oddVBand="0" w:evenVBand="0" w:oddHBand="1"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 permanent increase of working capital related to the expansion of business activities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w w:val="110"/>
                <w:sz w:val="19"/>
              </w:rPr>
              <w:t>up to CZK 25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w w:val="95"/>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trHeight w:val="317"/>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TableParagraph"/>
              <w:spacing w:before="38"/>
              <w:rPr>
                <w:rFonts w:ascii="Arial" w:hAnsi="Arial" w:cs="Arial"/>
                <w:b w:val="0"/>
                <w:color w:val="000000" w:themeColor="text1"/>
                <w:sz w:val="19"/>
                <w:szCs w:val="19"/>
                <w:lang/>
              </w:rPr>
            </w:pPr>
            <w:r>
              <w:rPr>
                <w:rFonts w:ascii="Arial" w:hAnsi="Arial"/>
                <w:b w:val="0"/>
                <w:color w:val="000000" w:themeColor="text1"/>
                <w:sz w:val="19"/>
              </w:rPr>
              <w:t>Raiffeisenbank</w:t>
            </w:r>
          </w:p>
          <w:p w:rsidR="00855334" w:rsidRPr="00451074" w:rsidRDefault="00855334" w:rsidP="00B90BFB">
            <w:pPr>
              <w:pStyle w:val="TableParagraph"/>
              <w:spacing w:before="38"/>
              <w:rPr>
                <w:rFonts w:ascii="Arial" w:hAnsi="Arial" w:cs="Arial"/>
                <w:b w:val="0"/>
                <w:color w:val="000000" w:themeColor="text1"/>
                <w:sz w:val="19"/>
                <w:szCs w:val="19"/>
                <w:lang/>
              </w:rPr>
            </w:pPr>
            <w:r>
              <w:rPr>
                <w:rFonts w:ascii="Arial" w:hAnsi="Arial"/>
                <w:b w:val="0"/>
                <w:color w:val="000000" w:themeColor="text1"/>
                <w:sz w:val="19"/>
              </w:rPr>
              <w:t>(Green Loan/Zelený úvěr)</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w w:val="110"/>
                <w:sz w:val="19"/>
              </w:rPr>
              <w:t>small and medium-sized enterprise with a turnover of up to EUR 50 million or overall book balance up to EUR 43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ListParagraph"/>
              <w:numPr>
                <w:ilvl w:val="0"/>
                <w:numId w:val="15"/>
              </w:numPr>
              <w:autoSpaceDE w:val="0"/>
              <w:autoSpaceDN w:val="0"/>
              <w:adjustRightInd w:val="0"/>
              <w:ind w:left="252" w:hanging="252"/>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Energy efficiency in industry (e.g. replacement of boilers, recuperation of heat from the production processes...)</w:t>
            </w:r>
          </w:p>
          <w:p w:rsidR="00855334" w:rsidRPr="00451074" w:rsidRDefault="00855334" w:rsidP="00B90BFB">
            <w:pPr>
              <w:pStyle w:val="ListParagraph"/>
              <w:numPr>
                <w:ilvl w:val="0"/>
                <w:numId w:val="15"/>
              </w:numPr>
              <w:autoSpaceDE w:val="0"/>
              <w:autoSpaceDN w:val="0"/>
              <w:adjustRightInd w:val="0"/>
              <w:ind w:left="252" w:hanging="252"/>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Building energy efficiency (e.g. insulation of walls and roofs, modernisation of lighting...)</w:t>
            </w:r>
          </w:p>
          <w:p w:rsidR="00855334" w:rsidRPr="00451074" w:rsidRDefault="00855334" w:rsidP="00B90BFB">
            <w:pPr>
              <w:pStyle w:val="ListParagraph"/>
              <w:numPr>
                <w:ilvl w:val="0"/>
                <w:numId w:val="15"/>
              </w:numPr>
              <w:autoSpaceDE w:val="0"/>
              <w:autoSpaceDN w:val="0"/>
              <w:adjustRightInd w:val="0"/>
              <w:ind w:left="252" w:hanging="252"/>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Renewable Energy Sources (e.g. photovoltaics, small hydro power plants)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C45311" w:rsidP="00C45311">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w w:val="110"/>
                <w:sz w:val="19"/>
              </w:rPr>
              <w:t>CZK 2.7 million (long-term financing up to CZK 337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w w:val="95"/>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TableParagraph"/>
              <w:spacing w:before="38"/>
              <w:rPr>
                <w:rFonts w:ascii="Arial" w:hAnsi="Arial" w:cs="Arial"/>
                <w:b w:val="0"/>
                <w:color w:val="000000" w:themeColor="text1"/>
                <w:sz w:val="19"/>
                <w:szCs w:val="19"/>
                <w:lang/>
              </w:rPr>
            </w:pPr>
            <w:r>
              <w:rPr>
                <w:rFonts w:ascii="Arial" w:hAnsi="Arial"/>
                <w:b w:val="0"/>
                <w:color w:val="000000" w:themeColor="text1"/>
                <w:sz w:val="19"/>
              </w:rPr>
              <w:t>Societe Generale Equipment Finance Czech Republic s.r.o.</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w w:val="110"/>
                <w:sz w:val="19"/>
              </w:rPr>
              <w:t>small and medium-sized enterprises (up to 3,000 employees) and municipalities</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w w:val="110"/>
                <w:sz w:val="19"/>
                <w:szCs w:val="19"/>
                <w:lang/>
              </w:rPr>
            </w:pPr>
            <w:r>
              <w:rPr>
                <w:rFonts w:ascii="Arial" w:hAnsi="Arial"/>
                <w:color w:val="000000" w:themeColor="text1"/>
                <w:sz w:val="19"/>
              </w:rPr>
              <w:t>co-financing of projects from the area of industry, transport, environmental protection, energy, energy saving programs, infrastructure including projects from the area of medical care and education, services, tourism and other projects beneficial to the company</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w w:val="110"/>
                <w:sz w:val="19"/>
              </w:rPr>
              <w:t>up to CZK 25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pStyle w:val="TableParagraph"/>
              <w:spacing w:before="3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w w:val="95"/>
                <w:sz w:val="19"/>
              </w:rPr>
              <w:t>EIB</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486" w:type="dxa"/>
          </w:tcPr>
          <w:p w:rsidR="00855334" w:rsidRPr="00451074" w:rsidRDefault="00855334" w:rsidP="00B90BFB">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loan / guarantee</w:t>
            </w:r>
          </w:p>
        </w:tc>
      </w:tr>
      <w: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Pr="00451074" w:rsidTr="00B831F7">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855334" w:rsidRPr="00451074" w:rsidRDefault="00855334" w:rsidP="00B90BFB">
            <w:pPr>
              <w:pStyle w:val="TableParagraph"/>
              <w:spacing w:before="38"/>
              <w:rPr>
                <w:rFonts w:ascii="Arial" w:hAnsi="Arial" w:cs="Arial"/>
                <w:b w:val="0"/>
                <w:color w:val="000000" w:themeColor="text1"/>
                <w:sz w:val="19"/>
                <w:szCs w:val="19"/>
                <w:lang/>
              </w:rPr>
            </w:pPr>
            <w:r>
              <w:rPr>
                <w:rFonts w:ascii="Arial" w:hAnsi="Arial"/>
                <w:b w:val="0"/>
                <w:color w:val="000000" w:themeColor="text1"/>
                <w:sz w:val="19"/>
              </w:rPr>
              <w:t>Syntaxis Capital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154"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all sectors / general</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2160"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companies with a value of EUR 50-300 million</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4483"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not-determined</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579" w:type="dxa"/>
          </w:tcPr>
          <w:p w:rsidR="00855334" w:rsidRPr="00451074" w:rsidRDefault="00855334" w:rsidP="00B90BFB">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9"/>
                <w:szCs w:val="19"/>
              </w:rPr>
            </w:pPr>
            <w:r>
              <w:rPr>
                <w:rFonts w:ascii="Arial" w:hAnsi="Arial"/>
                <w:color w:val="000000" w:themeColor="text1"/>
                <w:sz w:val="19"/>
              </w:rPr>
              <w:t>not set</w:t>
            </w:r>
          </w:p>
        </w:tc>
        <w:tc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tcPr>
            <w:tcW w:w="1391" w:type="dxa"/>
          </w:tcPr>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p>
        </w:tc>
        <w:tc>
          <w:tcPr>
            <w:tcW w:w="1486" w:type="dxa"/>
          </w:tcPr>
          <w:p w:rsidR="00855334" w:rsidRPr="00451074" w:rsidRDefault="00855334" w:rsidP="00B90BF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FreeSerif" w:hAnsi="Arial" w:cs="Arial"/>
                <w:color w:val="000000" w:themeColor="text1"/>
                <w:sz w:val="19"/>
                <w:szCs w:val="19"/>
              </w:rPr>
            </w:pPr>
            <w:r>
              <w:rPr>
                <w:rFonts w:ascii="Arial" w:hAnsi="Arial"/>
                <w:color w:val="000000" w:themeColor="text1"/>
                <w:sz w:val="19"/>
              </w:rPr>
              <w:t>equity capital / venture</w:t>
            </w:r>
          </w:p>
          <w:p w:rsidR="00855334" w:rsidRPr="00451074" w:rsidRDefault="00855334" w:rsidP="00B90BFB">
            <w:pPr>
              <w:pStyle w:val="TableParagraph"/>
              <w:spacing w:before="38"/>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9"/>
                <w:szCs w:val="19"/>
                <w:lang/>
              </w:rPr>
            </w:pPr>
            <w:r>
              <w:rPr>
                <w:rFonts w:ascii="Arial" w:hAnsi="Arial"/>
                <w:color w:val="000000" w:themeColor="text1"/>
                <w:sz w:val="19"/>
              </w:rPr>
              <w:t>capital</w:t>
            </w:r>
          </w:p>
        </w:tc>
      </w:tr>
    </w:tbl>
    <w:p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D32551" w:rsidRDefault="00D32551" w:rsidP="00E45504">
      <w:pPr>
        <w:rPr>
          <w:rFonts w:ascii="Arial" w:hAnsi="Arial" w:cs="Arial"/>
          <w:color w:val="000000" w:themeColor="text1"/>
          <w:sz w:val="19"/>
          <w:szCs w:val="19"/>
        </w:rPr>
      </w:pPr>
    </w:p>
    <w:p w:rsidR="0097515C" w:rsidRPr="00451074" w:rsidRDefault="00E51F31" w:rsidP="00E45504">
      <w:pPr>
        <w:rPr>
          <w:rFonts w:ascii="Arial" w:hAnsi="Arial" w:cs="Arial"/>
          <w:color w:val="000000" w:themeColor="text1"/>
          <w:sz w:val="19"/>
          <w:szCs w:val="19"/>
        </w:rPr>
      </w:pPr>
      <w:r>
        <w:rPr>
          <w:rFonts w:ascii="Arial" w:hAnsi="Arial"/>
          <w:color w:val="000000" w:themeColor="text1"/>
          <w:sz w:val="19"/>
        </w:rPr>
        <w:t>Explanatory notes:</w:t>
      </w:r>
    </w:p>
    <w:p w:rsidR="00963B1B" w:rsidRPr="00451074" w:rsidRDefault="00963B1B" w:rsidP="00E45504">
      <w:pPr>
        <w:rPr>
          <w:rFonts w:ascii="Arial" w:hAnsi="Arial" w:cs="Arial"/>
          <w:color w:val="000000" w:themeColor="text1"/>
          <w:sz w:val="19"/>
          <w:szCs w:val="19"/>
        </w:rPr>
      </w:pPr>
      <w:r>
        <w:rPr>
          <w:rFonts w:ascii="Arial" w:hAnsi="Arial"/>
          <w:color w:val="000000" w:themeColor="text1"/>
          <w:sz w:val="19"/>
        </w:rPr>
        <w:t xml:space="preserve">EIB - European Investment Bank, EIF - European Investment Fund, EC - European Commission, EBRD - </w:t>
      </w:r>
      <w:r>
        <w:rPr>
          <w:rStyle w:val="Emphasis"/>
          <w:rFonts w:ascii="Arial" w:hAnsi="Arial"/>
          <w:b w:val="0"/>
          <w:color w:val="000000" w:themeColor="text1"/>
          <w:sz w:val="19"/>
        </w:rPr>
        <w:t>European Bank for Reconstruction and Development,</w:t>
      </w:r>
      <w:r>
        <w:rPr>
          <w:rFonts w:ascii="Arial" w:hAnsi="Arial"/>
          <w:color w:val="000000" w:themeColor="text1"/>
          <w:sz w:val="19"/>
        </w:rPr>
        <w:t xml:space="preserve"> BSTaDB - Black Sea Trade and Development Bank, DEG - Deutsche Investitions- und Entwicklungsgesellschaft</w:t>
      </w:r>
    </w:p>
    <w:sectP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963B1B" w:rsidRPr="00451074" w:rsidSect="0097515C">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14="http://schemas.microsoft.com/office/word/2010/wordml" xmlns:wne="http://schemas.microsoft.com/office/word/2006/wordml" xmlns:a="http://schemas.openxmlformats.org/drawingml/2006/main" xmlns:pic="http://schemas.openxmlformats.org/drawingml/2006/picture" xmlns:dgm="http://schemas.openxmlformats.org/drawingml/2006/diagram" xmlns:c="http://schemas.openxmlformats.org/drawingml/2006/chart" xmlns:p="http://schemas.openxmlformats.org/presentationml/2006/main" xmlns:wpc="http://schemas.microsoft.com/office/word/2010/wordprocessingCanvas" xmlns:mc="http://schemas.openxmlformats.org/markup-compatibility/2006" xmlns:wp14="http://schemas.microsoft.com/office/word/2010/wordprocessingDrawing" xmlns:wpg="http://schemas.microsoft.com/office/word/2010/wordprocessingGroup" xmlns:wpi="http://schemas.microsoft.com/office/word/2010/wordprocessingInk" xmlns:wps="http://schemas.microsoft.com/office/word/2010/wordprocessingShape">
  <w:endnote w:type="separator" w:id="-1">
    <w:p w:rsidR="00384970" w:rsidRDefault="00384970" w:rsidP="00FE511C">
      <w:pPr>
        <w:spacing w:after="0" w:line="240" w:lineRule="auto"/>
      </w:pPr>
      <w:r>
        <w:separator/>
      </w:r>
    </w:p>
  </w:endnote>
  <w:endnote w:type="continuationSeparator" w:id="0">
    <w:p w:rsidR="00384970" w:rsidRDefault="00384970" w:rsidP="00FE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libri Light">
    <w:altName w:val="Calibri"/>
    <w:charset w:val="EE"/>
    <w:family w:val="swiss"/>
    <w:pitch w:val="variable"/>
    <w:sig w:usb0="00000001"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FreeSerif">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14="http://schemas.microsoft.com/office/word/2010/wordml" xmlns:wne="http://schemas.microsoft.com/office/word/2006/wordml" xmlns:a="http://schemas.openxmlformats.org/drawingml/2006/main" xmlns:pic="http://schemas.openxmlformats.org/drawingml/2006/picture" xmlns:dgm="http://schemas.openxmlformats.org/drawingml/2006/diagram" xmlns:c="http://schemas.openxmlformats.org/drawingml/2006/chart" xmlns:wpc="http://schemas.microsoft.com/office/word/2010/wordprocessingCanvas" xmlns:mc="http://schemas.openxmlformats.org/markup-compatibility/2006" xmlns:wp14="http://schemas.microsoft.com/office/word/2010/wordprocessingDrawing" xmlns:wpg="http://schemas.microsoft.com/office/word/2010/wordprocessingGroup" xmlns:wpi="http://schemas.microsoft.com/office/word/2010/wordprocessingInk" xmlns:wps="http://schemas.microsoft.com/office/word/2010/wordprocessingShape">
  <w:footnote w:type="separator" w:id="-1">
    <w:p w:rsidR="00384970" w:rsidRDefault="00384970" w:rsidP="00FE511C">
      <w:pPr>
        <w:spacing w:after="0" w:line="240" w:lineRule="auto"/>
      </w:pPr>
      <w:r>
        <w:separator/>
      </w:r>
    </w:p>
  </w:footnote>
  <w:footnote w:type="continuationSeparator" w:id="0">
    <w:p w:rsidR="00384970" w:rsidRDefault="00384970" w:rsidP="00FE511C">
      <w:pPr>
        <w:spacing w:after="0" w:line="240" w:lineRule="auto"/>
      </w:pPr>
      <w:r>
        <w:continuationSeparator/>
      </w:r>
    </w:p>
  </w:footnote>
</w:footnotes>
</file>

<file path=word/header1.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1C" w:rsidRDefault="00FB3D69" w:rsidP="00FE511C">
    <w:pPr>
      <w:pStyle w:val="Header"/>
      <w:jc w:val="center"/>
    </w:pPr>
    <w:r>
      <w:rPr>
        <w:noProof/>
      </w:rPr>
      <w:drawing>
        <wp:inline xmlns:wp14="http://schemas.microsoft.com/office/word/2010/wordprocessingDrawing" xmlns:wp="http://schemas.openxmlformats.org/drawingml/2006/wordprocessingDrawing" distT="0" distB="0" distL="0" distR="0" wp14:anchorId="478AEA5A" wp14:editId="374D4CFF">
          <wp:extent cx="5757545" cy="773402"/>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10750" t="29712" r="11687" b="51755"/>
                  <a:stretch/>
                </pic:blipFill>
                <pic:spPr bwMode="auto">
                  <a:xfrm>
                    <a:off x="0" y="0"/>
                    <a:ext cx="5863078" cy="787578"/>
                  </a:xfrm>
                  <a:prstGeom prst="rect">
                    <a:avLst/>
                  </a:prstGeom>
                  <a:ln>
                    <a:noFill/>
                  </a:ln>
                  <a:extLst>
                    <a:ext uri="{53640926-AAD7-44D8-BBD7-CCE9431645EC}">
                      <a14:shadowObscured xmlns:a14="http://schemas.microsoft.com/office/drawing/2010/main"/>
                    </a:ext>
                  </a:extLst>
                </pic:spPr>
              </pic:pic>
            </a:graphicData>
          </a:graphic>
        </wp:inline>
      </w:drawing>
    </w:r>
  </w:p>
  <w:p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rsidR="00855334" w:rsidRDefault="00855334" w:rsidP="00FE511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64B"/>
    <w:multiLevelType w:val="multilevel"/>
    <w:tmpl w:val="BA803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1D7634"/>
    <w:multiLevelType w:val="multilevel"/>
    <w:tmpl w:val="159E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C78C7"/>
    <w:multiLevelType w:val="hybridMultilevel"/>
    <w:tmpl w:val="7A381778"/>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BDA15B7"/>
    <w:multiLevelType w:val="hybridMultilevel"/>
    <w:tmpl w:val="828A729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30C373DD"/>
    <w:multiLevelType w:val="multilevel"/>
    <w:tmpl w:val="BCE4E71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9B6041"/>
    <w:multiLevelType w:val="hybridMultilevel"/>
    <w:tmpl w:val="3BAC8C0E"/>
    <w:lvl w:ilvl="0" w:tplc="DB56012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D022415"/>
    <w:multiLevelType w:val="multilevel"/>
    <w:tmpl w:val="D750B49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E4590D"/>
    <w:multiLevelType w:val="multilevel"/>
    <w:tmpl w:val="1054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7215FC"/>
    <w:multiLevelType w:val="hybridMultilevel"/>
    <w:tmpl w:val="1144D212"/>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7CE4ACD"/>
    <w:multiLevelType w:val="multilevel"/>
    <w:tmpl w:val="A63A9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696A90"/>
    <w:multiLevelType w:val="hybridMultilevel"/>
    <w:tmpl w:val="BB00A54E"/>
    <w:lvl w:ilvl="0" w:tplc="0405000B">
      <w:start w:val="1"/>
      <w:numFmt w:val="bullet"/>
      <w:lvlText w:val=""/>
      <w:lvlJc w:val="left"/>
      <w:pPr>
        <w:ind w:left="972" w:hanging="360"/>
      </w:pPr>
      <w:rPr>
        <w:rFonts w:ascii="Wingdings" w:hAnsi="Wingdings" w:hint="default"/>
      </w:rPr>
    </w:lvl>
    <w:lvl w:ilvl="1" w:tplc="04050003" w:tentative="1">
      <w:start w:val="1"/>
      <w:numFmt w:val="bullet"/>
      <w:lvlText w:val="o"/>
      <w:lvlJc w:val="left"/>
      <w:pPr>
        <w:ind w:left="1692" w:hanging="360"/>
      </w:pPr>
      <w:rPr>
        <w:rFonts w:ascii="Courier New" w:hAnsi="Courier New" w:cs="Courier New" w:hint="default"/>
      </w:rPr>
    </w:lvl>
    <w:lvl w:ilvl="2" w:tplc="04050005" w:tentative="1">
      <w:start w:val="1"/>
      <w:numFmt w:val="bullet"/>
      <w:lvlText w:val=""/>
      <w:lvlJc w:val="left"/>
      <w:pPr>
        <w:ind w:left="2412" w:hanging="360"/>
      </w:pPr>
      <w:rPr>
        <w:rFonts w:ascii="Wingdings" w:hAnsi="Wingdings" w:hint="default"/>
      </w:rPr>
    </w:lvl>
    <w:lvl w:ilvl="3" w:tplc="04050001" w:tentative="1">
      <w:start w:val="1"/>
      <w:numFmt w:val="bullet"/>
      <w:lvlText w:val=""/>
      <w:lvlJc w:val="left"/>
      <w:pPr>
        <w:ind w:left="3132" w:hanging="360"/>
      </w:pPr>
      <w:rPr>
        <w:rFonts w:ascii="Symbol" w:hAnsi="Symbol" w:hint="default"/>
      </w:rPr>
    </w:lvl>
    <w:lvl w:ilvl="4" w:tplc="04050003" w:tentative="1">
      <w:start w:val="1"/>
      <w:numFmt w:val="bullet"/>
      <w:lvlText w:val="o"/>
      <w:lvlJc w:val="left"/>
      <w:pPr>
        <w:ind w:left="3852" w:hanging="360"/>
      </w:pPr>
      <w:rPr>
        <w:rFonts w:ascii="Courier New" w:hAnsi="Courier New" w:cs="Courier New" w:hint="default"/>
      </w:rPr>
    </w:lvl>
    <w:lvl w:ilvl="5" w:tplc="04050005" w:tentative="1">
      <w:start w:val="1"/>
      <w:numFmt w:val="bullet"/>
      <w:lvlText w:val=""/>
      <w:lvlJc w:val="left"/>
      <w:pPr>
        <w:ind w:left="4572" w:hanging="360"/>
      </w:pPr>
      <w:rPr>
        <w:rFonts w:ascii="Wingdings" w:hAnsi="Wingdings" w:hint="default"/>
      </w:rPr>
    </w:lvl>
    <w:lvl w:ilvl="6" w:tplc="04050001" w:tentative="1">
      <w:start w:val="1"/>
      <w:numFmt w:val="bullet"/>
      <w:lvlText w:val=""/>
      <w:lvlJc w:val="left"/>
      <w:pPr>
        <w:ind w:left="5292" w:hanging="360"/>
      </w:pPr>
      <w:rPr>
        <w:rFonts w:ascii="Symbol" w:hAnsi="Symbol" w:hint="default"/>
      </w:rPr>
    </w:lvl>
    <w:lvl w:ilvl="7" w:tplc="04050003" w:tentative="1">
      <w:start w:val="1"/>
      <w:numFmt w:val="bullet"/>
      <w:lvlText w:val="o"/>
      <w:lvlJc w:val="left"/>
      <w:pPr>
        <w:ind w:left="6012" w:hanging="360"/>
      </w:pPr>
      <w:rPr>
        <w:rFonts w:ascii="Courier New" w:hAnsi="Courier New" w:cs="Courier New" w:hint="default"/>
      </w:rPr>
    </w:lvl>
    <w:lvl w:ilvl="8" w:tplc="04050005" w:tentative="1">
      <w:start w:val="1"/>
      <w:numFmt w:val="bullet"/>
      <w:lvlText w:val=""/>
      <w:lvlJc w:val="left"/>
      <w:pPr>
        <w:ind w:left="6732" w:hanging="360"/>
      </w:pPr>
      <w:rPr>
        <w:rFonts w:ascii="Wingdings" w:hAnsi="Wingdings" w:hint="default"/>
      </w:rPr>
    </w:lvl>
  </w:abstractNum>
  <w:abstractNum w:abstractNumId="11">
    <w:nsid w:val="5CD4094F"/>
    <w:multiLevelType w:val="hybridMultilevel"/>
    <w:tmpl w:val="74D235A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643D4F50"/>
    <w:multiLevelType w:val="hybridMultilevel"/>
    <w:tmpl w:val="0A86FC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26C7027"/>
    <w:multiLevelType w:val="hybridMultilevel"/>
    <w:tmpl w:val="D27C86F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7AD17740"/>
    <w:multiLevelType w:val="multilevel"/>
    <w:tmpl w:val="38604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3"/>
  </w:num>
  <w:num w:numId="3">
    <w:abstractNumId w:val="1"/>
  </w:num>
  <w:num w:numId="4">
    <w:abstractNumId w:val="0"/>
  </w:num>
  <w:num w:numId="5">
    <w:abstractNumId w:val="8"/>
  </w:num>
  <w:num w:numId="6">
    <w:abstractNumId w:val="3"/>
  </w:num>
  <w:num w:numId="7">
    <w:abstractNumId w:val="5"/>
  </w:num>
  <w:num w:numId="8">
    <w:abstractNumId w:val="14"/>
  </w:num>
  <w:num w:numId="9">
    <w:abstractNumId w:val="2"/>
  </w:num>
  <w:num w:numId="10">
    <w:abstractNumId w:val="4"/>
  </w:num>
  <w:num w:numId="11">
    <w:abstractNumId w:val="6"/>
  </w:num>
  <w:num w:numId="12">
    <w:abstractNumId w:val="7"/>
  </w:num>
  <w:num w:numId="13">
    <w:abstractNumId w:val="12"/>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15C"/>
    <w:rsid w:val="0001094C"/>
    <w:rsid w:val="00011869"/>
    <w:rsid w:val="00013397"/>
    <w:rsid w:val="000137C0"/>
    <w:rsid w:val="00020456"/>
    <w:rsid w:val="000210B9"/>
    <w:rsid w:val="00026C5B"/>
    <w:rsid w:val="00027B90"/>
    <w:rsid w:val="000331AC"/>
    <w:rsid w:val="00037384"/>
    <w:rsid w:val="0004117D"/>
    <w:rsid w:val="00042F8D"/>
    <w:rsid w:val="00047F66"/>
    <w:rsid w:val="00050579"/>
    <w:rsid w:val="00051879"/>
    <w:rsid w:val="000547E7"/>
    <w:rsid w:val="0006146D"/>
    <w:rsid w:val="00064DA3"/>
    <w:rsid w:val="00066AB8"/>
    <w:rsid w:val="00066CCA"/>
    <w:rsid w:val="00066D8D"/>
    <w:rsid w:val="00067498"/>
    <w:rsid w:val="00072375"/>
    <w:rsid w:val="000729EE"/>
    <w:rsid w:val="00073452"/>
    <w:rsid w:val="00075F29"/>
    <w:rsid w:val="0007703D"/>
    <w:rsid w:val="00080DA8"/>
    <w:rsid w:val="0008115C"/>
    <w:rsid w:val="00081AD6"/>
    <w:rsid w:val="0009190D"/>
    <w:rsid w:val="00095809"/>
    <w:rsid w:val="000A49D8"/>
    <w:rsid w:val="000A79A2"/>
    <w:rsid w:val="000B05C7"/>
    <w:rsid w:val="000B3996"/>
    <w:rsid w:val="000D0A94"/>
    <w:rsid w:val="000D32A5"/>
    <w:rsid w:val="000D345A"/>
    <w:rsid w:val="000D3FB1"/>
    <w:rsid w:val="000D47F4"/>
    <w:rsid w:val="000E3C5A"/>
    <w:rsid w:val="000E68C1"/>
    <w:rsid w:val="000F076D"/>
    <w:rsid w:val="000F07DE"/>
    <w:rsid w:val="000F0B5C"/>
    <w:rsid w:val="000F0FCE"/>
    <w:rsid w:val="000F4A3B"/>
    <w:rsid w:val="000F7B8F"/>
    <w:rsid w:val="001065C2"/>
    <w:rsid w:val="001124E6"/>
    <w:rsid w:val="00112E71"/>
    <w:rsid w:val="0011468E"/>
    <w:rsid w:val="00120440"/>
    <w:rsid w:val="0012071C"/>
    <w:rsid w:val="00127F7D"/>
    <w:rsid w:val="001321A1"/>
    <w:rsid w:val="00136B64"/>
    <w:rsid w:val="00140BB6"/>
    <w:rsid w:val="0014403D"/>
    <w:rsid w:val="00145299"/>
    <w:rsid w:val="0014602E"/>
    <w:rsid w:val="001468B6"/>
    <w:rsid w:val="0014747F"/>
    <w:rsid w:val="001500CE"/>
    <w:rsid w:val="00150ADE"/>
    <w:rsid w:val="0015566E"/>
    <w:rsid w:val="0015684B"/>
    <w:rsid w:val="00162DBF"/>
    <w:rsid w:val="001729FB"/>
    <w:rsid w:val="00175A2F"/>
    <w:rsid w:val="001817C9"/>
    <w:rsid w:val="00182A76"/>
    <w:rsid w:val="001830AB"/>
    <w:rsid w:val="00185C89"/>
    <w:rsid w:val="00190705"/>
    <w:rsid w:val="00193CC0"/>
    <w:rsid w:val="001951F3"/>
    <w:rsid w:val="001979F2"/>
    <w:rsid w:val="001A1914"/>
    <w:rsid w:val="001A319C"/>
    <w:rsid w:val="001B3C95"/>
    <w:rsid w:val="001B4A24"/>
    <w:rsid w:val="001B6640"/>
    <w:rsid w:val="001C39AF"/>
    <w:rsid w:val="001E2859"/>
    <w:rsid w:val="001E52C6"/>
    <w:rsid w:val="001E7EEC"/>
    <w:rsid w:val="001F1602"/>
    <w:rsid w:val="001F33D2"/>
    <w:rsid w:val="001F45FF"/>
    <w:rsid w:val="001F6157"/>
    <w:rsid w:val="001F68A1"/>
    <w:rsid w:val="00200C0D"/>
    <w:rsid w:val="0020271F"/>
    <w:rsid w:val="00210F2B"/>
    <w:rsid w:val="00212723"/>
    <w:rsid w:val="00212AE9"/>
    <w:rsid w:val="002137FE"/>
    <w:rsid w:val="00213C7B"/>
    <w:rsid w:val="00214EF2"/>
    <w:rsid w:val="0022079C"/>
    <w:rsid w:val="002220EB"/>
    <w:rsid w:val="00222FA4"/>
    <w:rsid w:val="002250BD"/>
    <w:rsid w:val="00226D21"/>
    <w:rsid w:val="00227D1E"/>
    <w:rsid w:val="00233E09"/>
    <w:rsid w:val="00235704"/>
    <w:rsid w:val="002508E2"/>
    <w:rsid w:val="00255E7E"/>
    <w:rsid w:val="00264CC4"/>
    <w:rsid w:val="00271D87"/>
    <w:rsid w:val="0027672B"/>
    <w:rsid w:val="00277734"/>
    <w:rsid w:val="002811F6"/>
    <w:rsid w:val="002825E9"/>
    <w:rsid w:val="00283334"/>
    <w:rsid w:val="00284182"/>
    <w:rsid w:val="002915C1"/>
    <w:rsid w:val="00293AFC"/>
    <w:rsid w:val="00293E5C"/>
    <w:rsid w:val="00294D11"/>
    <w:rsid w:val="00297524"/>
    <w:rsid w:val="002A04C8"/>
    <w:rsid w:val="002A0D4F"/>
    <w:rsid w:val="002A19CD"/>
    <w:rsid w:val="002A2EBF"/>
    <w:rsid w:val="002A6188"/>
    <w:rsid w:val="002A6CFE"/>
    <w:rsid w:val="002A6FDE"/>
    <w:rsid w:val="002B3E8D"/>
    <w:rsid w:val="002C414A"/>
    <w:rsid w:val="002D1BD7"/>
    <w:rsid w:val="002D469B"/>
    <w:rsid w:val="002E040B"/>
    <w:rsid w:val="002E1BE1"/>
    <w:rsid w:val="002E1DBC"/>
    <w:rsid w:val="002E2A25"/>
    <w:rsid w:val="002E6B5E"/>
    <w:rsid w:val="002F02E7"/>
    <w:rsid w:val="002F2706"/>
    <w:rsid w:val="002F37B6"/>
    <w:rsid w:val="002F4587"/>
    <w:rsid w:val="002F5398"/>
    <w:rsid w:val="00301DB3"/>
    <w:rsid w:val="00302A0B"/>
    <w:rsid w:val="003062DB"/>
    <w:rsid w:val="003127CD"/>
    <w:rsid w:val="003146C7"/>
    <w:rsid w:val="00316D52"/>
    <w:rsid w:val="003204E6"/>
    <w:rsid w:val="00321017"/>
    <w:rsid w:val="00323573"/>
    <w:rsid w:val="00324F41"/>
    <w:rsid w:val="00331588"/>
    <w:rsid w:val="00332CB0"/>
    <w:rsid w:val="0033301F"/>
    <w:rsid w:val="003330D1"/>
    <w:rsid w:val="003359E2"/>
    <w:rsid w:val="0033681F"/>
    <w:rsid w:val="003421DD"/>
    <w:rsid w:val="00342A95"/>
    <w:rsid w:val="0034649F"/>
    <w:rsid w:val="0035412F"/>
    <w:rsid w:val="00354204"/>
    <w:rsid w:val="00355546"/>
    <w:rsid w:val="00356CFB"/>
    <w:rsid w:val="0036042E"/>
    <w:rsid w:val="00362B72"/>
    <w:rsid w:val="003651B4"/>
    <w:rsid w:val="00365F13"/>
    <w:rsid w:val="00366ABC"/>
    <w:rsid w:val="00372122"/>
    <w:rsid w:val="003729DF"/>
    <w:rsid w:val="00373711"/>
    <w:rsid w:val="00373733"/>
    <w:rsid w:val="003749E0"/>
    <w:rsid w:val="003750A7"/>
    <w:rsid w:val="003760EF"/>
    <w:rsid w:val="00377CD7"/>
    <w:rsid w:val="0038157B"/>
    <w:rsid w:val="00382025"/>
    <w:rsid w:val="003838C9"/>
    <w:rsid w:val="00383B1A"/>
    <w:rsid w:val="00384970"/>
    <w:rsid w:val="00395B50"/>
    <w:rsid w:val="003A2E34"/>
    <w:rsid w:val="003A4181"/>
    <w:rsid w:val="003A4FB1"/>
    <w:rsid w:val="003A5903"/>
    <w:rsid w:val="003B4A7A"/>
    <w:rsid w:val="003B52C1"/>
    <w:rsid w:val="003B613B"/>
    <w:rsid w:val="003C4651"/>
    <w:rsid w:val="003C6867"/>
    <w:rsid w:val="003D2E47"/>
    <w:rsid w:val="003D3857"/>
    <w:rsid w:val="003D7DFA"/>
    <w:rsid w:val="003E03E0"/>
    <w:rsid w:val="003F1ABB"/>
    <w:rsid w:val="003F5865"/>
    <w:rsid w:val="003F6311"/>
    <w:rsid w:val="003F7DB8"/>
    <w:rsid w:val="00403F0A"/>
    <w:rsid w:val="00412442"/>
    <w:rsid w:val="00412CA3"/>
    <w:rsid w:val="00417C06"/>
    <w:rsid w:val="00422B82"/>
    <w:rsid w:val="00425E21"/>
    <w:rsid w:val="004310C9"/>
    <w:rsid w:val="00432591"/>
    <w:rsid w:val="004375B7"/>
    <w:rsid w:val="0044254D"/>
    <w:rsid w:val="00450AF3"/>
    <w:rsid w:val="00451074"/>
    <w:rsid w:val="00454543"/>
    <w:rsid w:val="00461295"/>
    <w:rsid w:val="0046424A"/>
    <w:rsid w:val="00467909"/>
    <w:rsid w:val="00471214"/>
    <w:rsid w:val="004731DA"/>
    <w:rsid w:val="0047746F"/>
    <w:rsid w:val="00480C0F"/>
    <w:rsid w:val="0048414F"/>
    <w:rsid w:val="00484B30"/>
    <w:rsid w:val="00485C5C"/>
    <w:rsid w:val="004867D4"/>
    <w:rsid w:val="00493D46"/>
    <w:rsid w:val="004945E3"/>
    <w:rsid w:val="00494944"/>
    <w:rsid w:val="00496B10"/>
    <w:rsid w:val="00497EAD"/>
    <w:rsid w:val="004A038D"/>
    <w:rsid w:val="004A2474"/>
    <w:rsid w:val="004A2477"/>
    <w:rsid w:val="004A2B35"/>
    <w:rsid w:val="004A5338"/>
    <w:rsid w:val="004B1C6F"/>
    <w:rsid w:val="004B42B8"/>
    <w:rsid w:val="004B470A"/>
    <w:rsid w:val="004B6E58"/>
    <w:rsid w:val="004B7CA0"/>
    <w:rsid w:val="004B7E6D"/>
    <w:rsid w:val="004C1DFC"/>
    <w:rsid w:val="004C51E2"/>
    <w:rsid w:val="004C641D"/>
    <w:rsid w:val="004E2502"/>
    <w:rsid w:val="004E55A3"/>
    <w:rsid w:val="004F1586"/>
    <w:rsid w:val="004F27C3"/>
    <w:rsid w:val="004F3571"/>
    <w:rsid w:val="004F6BA4"/>
    <w:rsid w:val="005055B8"/>
    <w:rsid w:val="00514F3A"/>
    <w:rsid w:val="00516658"/>
    <w:rsid w:val="0052174E"/>
    <w:rsid w:val="00523CAC"/>
    <w:rsid w:val="00526ABE"/>
    <w:rsid w:val="00527C60"/>
    <w:rsid w:val="005329AF"/>
    <w:rsid w:val="00532AB7"/>
    <w:rsid w:val="00540995"/>
    <w:rsid w:val="00546C5F"/>
    <w:rsid w:val="005477EF"/>
    <w:rsid w:val="005527CF"/>
    <w:rsid w:val="00556E20"/>
    <w:rsid w:val="0055712B"/>
    <w:rsid w:val="00557DD4"/>
    <w:rsid w:val="00562C37"/>
    <w:rsid w:val="005674D5"/>
    <w:rsid w:val="00570745"/>
    <w:rsid w:val="0057387E"/>
    <w:rsid w:val="00573999"/>
    <w:rsid w:val="00575E3F"/>
    <w:rsid w:val="00586FC1"/>
    <w:rsid w:val="00590A52"/>
    <w:rsid w:val="00595D18"/>
    <w:rsid w:val="005A0E54"/>
    <w:rsid w:val="005A18DB"/>
    <w:rsid w:val="005A313A"/>
    <w:rsid w:val="005C03E8"/>
    <w:rsid w:val="005D0048"/>
    <w:rsid w:val="005D46D8"/>
    <w:rsid w:val="005D556A"/>
    <w:rsid w:val="005E049F"/>
    <w:rsid w:val="005E779D"/>
    <w:rsid w:val="005F1ACB"/>
    <w:rsid w:val="005F5906"/>
    <w:rsid w:val="005F5B41"/>
    <w:rsid w:val="005F6B86"/>
    <w:rsid w:val="005F7799"/>
    <w:rsid w:val="006060AA"/>
    <w:rsid w:val="006062AA"/>
    <w:rsid w:val="006077D0"/>
    <w:rsid w:val="00607C88"/>
    <w:rsid w:val="006111DA"/>
    <w:rsid w:val="00611218"/>
    <w:rsid w:val="00611D06"/>
    <w:rsid w:val="0061278C"/>
    <w:rsid w:val="00615FA9"/>
    <w:rsid w:val="00617547"/>
    <w:rsid w:val="00624FC8"/>
    <w:rsid w:val="0064270F"/>
    <w:rsid w:val="00644E32"/>
    <w:rsid w:val="006452A9"/>
    <w:rsid w:val="00647D25"/>
    <w:rsid w:val="0066778F"/>
    <w:rsid w:val="00674040"/>
    <w:rsid w:val="00681394"/>
    <w:rsid w:val="0068661C"/>
    <w:rsid w:val="00693379"/>
    <w:rsid w:val="00693BAD"/>
    <w:rsid w:val="00694165"/>
    <w:rsid w:val="006A2A4F"/>
    <w:rsid w:val="006B0D66"/>
    <w:rsid w:val="006B30EA"/>
    <w:rsid w:val="006B5A88"/>
    <w:rsid w:val="006B5CA4"/>
    <w:rsid w:val="006B5FCE"/>
    <w:rsid w:val="006C08B8"/>
    <w:rsid w:val="006C1F54"/>
    <w:rsid w:val="006C2A0D"/>
    <w:rsid w:val="006D3F33"/>
    <w:rsid w:val="006D736F"/>
    <w:rsid w:val="006E2A19"/>
    <w:rsid w:val="006E2B0D"/>
    <w:rsid w:val="006E646E"/>
    <w:rsid w:val="006F7435"/>
    <w:rsid w:val="00704B7E"/>
    <w:rsid w:val="00705905"/>
    <w:rsid w:val="007109B9"/>
    <w:rsid w:val="00712CAC"/>
    <w:rsid w:val="00716AED"/>
    <w:rsid w:val="007273F4"/>
    <w:rsid w:val="00730F04"/>
    <w:rsid w:val="0073368C"/>
    <w:rsid w:val="007340F9"/>
    <w:rsid w:val="00740E44"/>
    <w:rsid w:val="00743086"/>
    <w:rsid w:val="00746F94"/>
    <w:rsid w:val="00747F87"/>
    <w:rsid w:val="00751AB0"/>
    <w:rsid w:val="00756B3C"/>
    <w:rsid w:val="00767835"/>
    <w:rsid w:val="00770D88"/>
    <w:rsid w:val="00771CC6"/>
    <w:rsid w:val="00772923"/>
    <w:rsid w:val="0077356F"/>
    <w:rsid w:val="00773964"/>
    <w:rsid w:val="007758ED"/>
    <w:rsid w:val="00791CA1"/>
    <w:rsid w:val="00791D22"/>
    <w:rsid w:val="00793E0C"/>
    <w:rsid w:val="00795F89"/>
    <w:rsid w:val="007A0362"/>
    <w:rsid w:val="007A21C6"/>
    <w:rsid w:val="007A3C4E"/>
    <w:rsid w:val="007B16A4"/>
    <w:rsid w:val="007C16A3"/>
    <w:rsid w:val="007C3006"/>
    <w:rsid w:val="007C47FC"/>
    <w:rsid w:val="007D34A1"/>
    <w:rsid w:val="007E5697"/>
    <w:rsid w:val="007E7B8A"/>
    <w:rsid w:val="00810DEA"/>
    <w:rsid w:val="0081218F"/>
    <w:rsid w:val="0081333B"/>
    <w:rsid w:val="00813757"/>
    <w:rsid w:val="00814A67"/>
    <w:rsid w:val="00821316"/>
    <w:rsid w:val="00821487"/>
    <w:rsid w:val="008252B1"/>
    <w:rsid w:val="00830396"/>
    <w:rsid w:val="00832F55"/>
    <w:rsid w:val="008357A6"/>
    <w:rsid w:val="00840EAC"/>
    <w:rsid w:val="00842CAB"/>
    <w:rsid w:val="00843DC6"/>
    <w:rsid w:val="0084499D"/>
    <w:rsid w:val="00851C75"/>
    <w:rsid w:val="00853275"/>
    <w:rsid w:val="008542AA"/>
    <w:rsid w:val="00855334"/>
    <w:rsid w:val="00855D7A"/>
    <w:rsid w:val="00855FCE"/>
    <w:rsid w:val="00856B27"/>
    <w:rsid w:val="00863EAB"/>
    <w:rsid w:val="00865421"/>
    <w:rsid w:val="00865A27"/>
    <w:rsid w:val="0086686E"/>
    <w:rsid w:val="00867C86"/>
    <w:rsid w:val="008729F5"/>
    <w:rsid w:val="00873FC0"/>
    <w:rsid w:val="00876E03"/>
    <w:rsid w:val="008777B5"/>
    <w:rsid w:val="00880209"/>
    <w:rsid w:val="00880752"/>
    <w:rsid w:val="00882F0A"/>
    <w:rsid w:val="008907F3"/>
    <w:rsid w:val="00895D39"/>
    <w:rsid w:val="008963CE"/>
    <w:rsid w:val="00897562"/>
    <w:rsid w:val="008B45CE"/>
    <w:rsid w:val="008B5423"/>
    <w:rsid w:val="008C3BB8"/>
    <w:rsid w:val="008D4ED0"/>
    <w:rsid w:val="008D5D7D"/>
    <w:rsid w:val="008E0F9F"/>
    <w:rsid w:val="008E3A23"/>
    <w:rsid w:val="008E4BB1"/>
    <w:rsid w:val="008E4EFF"/>
    <w:rsid w:val="008E7602"/>
    <w:rsid w:val="008F0ED6"/>
    <w:rsid w:val="008F25C9"/>
    <w:rsid w:val="008F3635"/>
    <w:rsid w:val="008F36BC"/>
    <w:rsid w:val="008F7B67"/>
    <w:rsid w:val="00900BCF"/>
    <w:rsid w:val="00902EAB"/>
    <w:rsid w:val="0090485A"/>
    <w:rsid w:val="00914575"/>
    <w:rsid w:val="00915673"/>
    <w:rsid w:val="009164BE"/>
    <w:rsid w:val="0092183C"/>
    <w:rsid w:val="0092247C"/>
    <w:rsid w:val="00922E75"/>
    <w:rsid w:val="00923DCB"/>
    <w:rsid w:val="00926140"/>
    <w:rsid w:val="00926C6D"/>
    <w:rsid w:val="00927BC3"/>
    <w:rsid w:val="00931E9C"/>
    <w:rsid w:val="00934133"/>
    <w:rsid w:val="0093548E"/>
    <w:rsid w:val="00935672"/>
    <w:rsid w:val="0094251F"/>
    <w:rsid w:val="0094393E"/>
    <w:rsid w:val="0094634B"/>
    <w:rsid w:val="0094718A"/>
    <w:rsid w:val="009519AB"/>
    <w:rsid w:val="00952DE2"/>
    <w:rsid w:val="00954775"/>
    <w:rsid w:val="00955C09"/>
    <w:rsid w:val="00963B1B"/>
    <w:rsid w:val="00974DE9"/>
    <w:rsid w:val="0097515C"/>
    <w:rsid w:val="00975288"/>
    <w:rsid w:val="009766DA"/>
    <w:rsid w:val="00983B4C"/>
    <w:rsid w:val="00984B49"/>
    <w:rsid w:val="00986BFF"/>
    <w:rsid w:val="00994D2B"/>
    <w:rsid w:val="00995816"/>
    <w:rsid w:val="009A70A4"/>
    <w:rsid w:val="009A7250"/>
    <w:rsid w:val="009B12E1"/>
    <w:rsid w:val="009C0E7D"/>
    <w:rsid w:val="009C0F99"/>
    <w:rsid w:val="009C4916"/>
    <w:rsid w:val="009D2067"/>
    <w:rsid w:val="009D787C"/>
    <w:rsid w:val="009F091C"/>
    <w:rsid w:val="009F18D4"/>
    <w:rsid w:val="009F2035"/>
    <w:rsid w:val="00A00AE5"/>
    <w:rsid w:val="00A05E08"/>
    <w:rsid w:val="00A20589"/>
    <w:rsid w:val="00A212B3"/>
    <w:rsid w:val="00A21BA4"/>
    <w:rsid w:val="00A21F57"/>
    <w:rsid w:val="00A234BC"/>
    <w:rsid w:val="00A23FA0"/>
    <w:rsid w:val="00A27F2D"/>
    <w:rsid w:val="00A409F6"/>
    <w:rsid w:val="00A41726"/>
    <w:rsid w:val="00A41DCF"/>
    <w:rsid w:val="00A42CB0"/>
    <w:rsid w:val="00A43F06"/>
    <w:rsid w:val="00A43FB2"/>
    <w:rsid w:val="00A441AB"/>
    <w:rsid w:val="00A53903"/>
    <w:rsid w:val="00A57C28"/>
    <w:rsid w:val="00A63889"/>
    <w:rsid w:val="00A656F6"/>
    <w:rsid w:val="00A65AE6"/>
    <w:rsid w:val="00A66701"/>
    <w:rsid w:val="00A67567"/>
    <w:rsid w:val="00A717C8"/>
    <w:rsid w:val="00A73093"/>
    <w:rsid w:val="00A748A1"/>
    <w:rsid w:val="00A749AE"/>
    <w:rsid w:val="00A80D5D"/>
    <w:rsid w:val="00A80FC5"/>
    <w:rsid w:val="00A80FF4"/>
    <w:rsid w:val="00A81CD0"/>
    <w:rsid w:val="00A8205F"/>
    <w:rsid w:val="00A83ED3"/>
    <w:rsid w:val="00A90BD6"/>
    <w:rsid w:val="00A9124D"/>
    <w:rsid w:val="00A91EDF"/>
    <w:rsid w:val="00A92295"/>
    <w:rsid w:val="00AA7CBA"/>
    <w:rsid w:val="00AA7FBC"/>
    <w:rsid w:val="00AB0758"/>
    <w:rsid w:val="00AB07A6"/>
    <w:rsid w:val="00AB1B28"/>
    <w:rsid w:val="00AB37CF"/>
    <w:rsid w:val="00AB650B"/>
    <w:rsid w:val="00AB7E3F"/>
    <w:rsid w:val="00AC0821"/>
    <w:rsid w:val="00AC13FD"/>
    <w:rsid w:val="00AC20D3"/>
    <w:rsid w:val="00AD156E"/>
    <w:rsid w:val="00AD5067"/>
    <w:rsid w:val="00AD5B77"/>
    <w:rsid w:val="00AE2D30"/>
    <w:rsid w:val="00AE2FE7"/>
    <w:rsid w:val="00AE6BF3"/>
    <w:rsid w:val="00AF0781"/>
    <w:rsid w:val="00AF0D6C"/>
    <w:rsid w:val="00AF1723"/>
    <w:rsid w:val="00B01E66"/>
    <w:rsid w:val="00B02105"/>
    <w:rsid w:val="00B02E48"/>
    <w:rsid w:val="00B063D1"/>
    <w:rsid w:val="00B11507"/>
    <w:rsid w:val="00B11A71"/>
    <w:rsid w:val="00B212C8"/>
    <w:rsid w:val="00B23D22"/>
    <w:rsid w:val="00B24D65"/>
    <w:rsid w:val="00B25357"/>
    <w:rsid w:val="00B2587F"/>
    <w:rsid w:val="00B25AC8"/>
    <w:rsid w:val="00B2774B"/>
    <w:rsid w:val="00B3066C"/>
    <w:rsid w:val="00B34762"/>
    <w:rsid w:val="00B34C5F"/>
    <w:rsid w:val="00B40673"/>
    <w:rsid w:val="00B424CE"/>
    <w:rsid w:val="00B502B8"/>
    <w:rsid w:val="00B51962"/>
    <w:rsid w:val="00B52C43"/>
    <w:rsid w:val="00B52E9E"/>
    <w:rsid w:val="00B6035A"/>
    <w:rsid w:val="00B67AC8"/>
    <w:rsid w:val="00B71E87"/>
    <w:rsid w:val="00B72022"/>
    <w:rsid w:val="00B76844"/>
    <w:rsid w:val="00B775F4"/>
    <w:rsid w:val="00B831F7"/>
    <w:rsid w:val="00B90BFB"/>
    <w:rsid w:val="00B921F1"/>
    <w:rsid w:val="00B9435E"/>
    <w:rsid w:val="00B9745F"/>
    <w:rsid w:val="00B9762A"/>
    <w:rsid w:val="00BA67EA"/>
    <w:rsid w:val="00BA70D2"/>
    <w:rsid w:val="00BB35F8"/>
    <w:rsid w:val="00BB409F"/>
    <w:rsid w:val="00BB4576"/>
    <w:rsid w:val="00BB5F1F"/>
    <w:rsid w:val="00BB5FC9"/>
    <w:rsid w:val="00BC4928"/>
    <w:rsid w:val="00BC55C8"/>
    <w:rsid w:val="00BC782D"/>
    <w:rsid w:val="00BD458C"/>
    <w:rsid w:val="00BD573B"/>
    <w:rsid w:val="00BD7162"/>
    <w:rsid w:val="00BE03B0"/>
    <w:rsid w:val="00BE0618"/>
    <w:rsid w:val="00BE2DC6"/>
    <w:rsid w:val="00BE39F5"/>
    <w:rsid w:val="00BE5572"/>
    <w:rsid w:val="00BE7EF3"/>
    <w:rsid w:val="00BF2CA5"/>
    <w:rsid w:val="00C04E2E"/>
    <w:rsid w:val="00C05FB3"/>
    <w:rsid w:val="00C10ACB"/>
    <w:rsid w:val="00C17A3A"/>
    <w:rsid w:val="00C201AC"/>
    <w:rsid w:val="00C22330"/>
    <w:rsid w:val="00C24587"/>
    <w:rsid w:val="00C251CE"/>
    <w:rsid w:val="00C25A61"/>
    <w:rsid w:val="00C336DC"/>
    <w:rsid w:val="00C361A0"/>
    <w:rsid w:val="00C4201B"/>
    <w:rsid w:val="00C423E7"/>
    <w:rsid w:val="00C45311"/>
    <w:rsid w:val="00C45CB4"/>
    <w:rsid w:val="00C46A4D"/>
    <w:rsid w:val="00C47554"/>
    <w:rsid w:val="00C508E1"/>
    <w:rsid w:val="00C525B1"/>
    <w:rsid w:val="00C62E6D"/>
    <w:rsid w:val="00C65604"/>
    <w:rsid w:val="00C666D6"/>
    <w:rsid w:val="00C67692"/>
    <w:rsid w:val="00C67728"/>
    <w:rsid w:val="00C70040"/>
    <w:rsid w:val="00C70E34"/>
    <w:rsid w:val="00C77A8D"/>
    <w:rsid w:val="00C81A2C"/>
    <w:rsid w:val="00C82F78"/>
    <w:rsid w:val="00C87428"/>
    <w:rsid w:val="00C92199"/>
    <w:rsid w:val="00C96731"/>
    <w:rsid w:val="00CA41D4"/>
    <w:rsid w:val="00CA73A1"/>
    <w:rsid w:val="00CB2325"/>
    <w:rsid w:val="00CB515C"/>
    <w:rsid w:val="00CB7473"/>
    <w:rsid w:val="00CD4865"/>
    <w:rsid w:val="00CD565B"/>
    <w:rsid w:val="00CD58F1"/>
    <w:rsid w:val="00CD75EF"/>
    <w:rsid w:val="00CD7C95"/>
    <w:rsid w:val="00CE0C8C"/>
    <w:rsid w:val="00CE59C1"/>
    <w:rsid w:val="00CE5A74"/>
    <w:rsid w:val="00CE5F39"/>
    <w:rsid w:val="00CE7259"/>
    <w:rsid w:val="00CF2E19"/>
    <w:rsid w:val="00CF3F03"/>
    <w:rsid w:val="00CF59E2"/>
    <w:rsid w:val="00D024FF"/>
    <w:rsid w:val="00D03F45"/>
    <w:rsid w:val="00D15E70"/>
    <w:rsid w:val="00D24BF1"/>
    <w:rsid w:val="00D32551"/>
    <w:rsid w:val="00D33384"/>
    <w:rsid w:val="00D33447"/>
    <w:rsid w:val="00D34C40"/>
    <w:rsid w:val="00D3519B"/>
    <w:rsid w:val="00D35F10"/>
    <w:rsid w:val="00D45B59"/>
    <w:rsid w:val="00D46D31"/>
    <w:rsid w:val="00D548E3"/>
    <w:rsid w:val="00D5644B"/>
    <w:rsid w:val="00D57578"/>
    <w:rsid w:val="00D60DCB"/>
    <w:rsid w:val="00D67437"/>
    <w:rsid w:val="00D7248E"/>
    <w:rsid w:val="00D75E1F"/>
    <w:rsid w:val="00D84AA1"/>
    <w:rsid w:val="00D84D37"/>
    <w:rsid w:val="00D850DB"/>
    <w:rsid w:val="00D9437D"/>
    <w:rsid w:val="00D94A26"/>
    <w:rsid w:val="00DA088F"/>
    <w:rsid w:val="00DA64E3"/>
    <w:rsid w:val="00DB1349"/>
    <w:rsid w:val="00DB1F71"/>
    <w:rsid w:val="00DB2CD2"/>
    <w:rsid w:val="00DB7DDB"/>
    <w:rsid w:val="00DC3776"/>
    <w:rsid w:val="00DC3945"/>
    <w:rsid w:val="00DC3A2E"/>
    <w:rsid w:val="00DC57DC"/>
    <w:rsid w:val="00DC62C5"/>
    <w:rsid w:val="00DC759C"/>
    <w:rsid w:val="00DD41AA"/>
    <w:rsid w:val="00DE0019"/>
    <w:rsid w:val="00DE234C"/>
    <w:rsid w:val="00DE7599"/>
    <w:rsid w:val="00DF3091"/>
    <w:rsid w:val="00DF3B26"/>
    <w:rsid w:val="00DF63C4"/>
    <w:rsid w:val="00E0597A"/>
    <w:rsid w:val="00E15197"/>
    <w:rsid w:val="00E158BE"/>
    <w:rsid w:val="00E22C30"/>
    <w:rsid w:val="00E256DD"/>
    <w:rsid w:val="00E25E4A"/>
    <w:rsid w:val="00E311C2"/>
    <w:rsid w:val="00E37772"/>
    <w:rsid w:val="00E41FBD"/>
    <w:rsid w:val="00E45504"/>
    <w:rsid w:val="00E45D3D"/>
    <w:rsid w:val="00E47376"/>
    <w:rsid w:val="00E47626"/>
    <w:rsid w:val="00E476D7"/>
    <w:rsid w:val="00E47C99"/>
    <w:rsid w:val="00E50FBC"/>
    <w:rsid w:val="00E51F31"/>
    <w:rsid w:val="00E523E7"/>
    <w:rsid w:val="00E5346D"/>
    <w:rsid w:val="00E5415F"/>
    <w:rsid w:val="00E5523B"/>
    <w:rsid w:val="00E56345"/>
    <w:rsid w:val="00E56503"/>
    <w:rsid w:val="00E56ED9"/>
    <w:rsid w:val="00E57FF8"/>
    <w:rsid w:val="00E616B7"/>
    <w:rsid w:val="00E628CA"/>
    <w:rsid w:val="00E71D78"/>
    <w:rsid w:val="00E73291"/>
    <w:rsid w:val="00E7443E"/>
    <w:rsid w:val="00E76680"/>
    <w:rsid w:val="00E8221E"/>
    <w:rsid w:val="00E94E69"/>
    <w:rsid w:val="00EA0D64"/>
    <w:rsid w:val="00EA1967"/>
    <w:rsid w:val="00EA7993"/>
    <w:rsid w:val="00EA79A2"/>
    <w:rsid w:val="00EB0182"/>
    <w:rsid w:val="00EB4ECB"/>
    <w:rsid w:val="00EB653C"/>
    <w:rsid w:val="00EB7EF8"/>
    <w:rsid w:val="00EC48B5"/>
    <w:rsid w:val="00EC4BFF"/>
    <w:rsid w:val="00EC7DDB"/>
    <w:rsid w:val="00ED0615"/>
    <w:rsid w:val="00ED1E99"/>
    <w:rsid w:val="00ED48E0"/>
    <w:rsid w:val="00ED4930"/>
    <w:rsid w:val="00EE2490"/>
    <w:rsid w:val="00EE2EEB"/>
    <w:rsid w:val="00EE42C8"/>
    <w:rsid w:val="00EF1927"/>
    <w:rsid w:val="00EF3C0C"/>
    <w:rsid w:val="00EF5983"/>
    <w:rsid w:val="00EF5B2A"/>
    <w:rsid w:val="00EF5E9B"/>
    <w:rsid w:val="00F017A3"/>
    <w:rsid w:val="00F03A2A"/>
    <w:rsid w:val="00F03A2E"/>
    <w:rsid w:val="00F04204"/>
    <w:rsid w:val="00F07327"/>
    <w:rsid w:val="00F10DE4"/>
    <w:rsid w:val="00F23EA5"/>
    <w:rsid w:val="00F301A6"/>
    <w:rsid w:val="00F30C00"/>
    <w:rsid w:val="00F30C4E"/>
    <w:rsid w:val="00F4618C"/>
    <w:rsid w:val="00F462C0"/>
    <w:rsid w:val="00F47475"/>
    <w:rsid w:val="00F501E7"/>
    <w:rsid w:val="00F52DCF"/>
    <w:rsid w:val="00F56A2C"/>
    <w:rsid w:val="00F60BD9"/>
    <w:rsid w:val="00F660F6"/>
    <w:rsid w:val="00F7131F"/>
    <w:rsid w:val="00F729E4"/>
    <w:rsid w:val="00F75465"/>
    <w:rsid w:val="00F779B4"/>
    <w:rsid w:val="00F830FF"/>
    <w:rsid w:val="00F90736"/>
    <w:rsid w:val="00FA26A9"/>
    <w:rsid w:val="00FA3D33"/>
    <w:rsid w:val="00FA6C71"/>
    <w:rsid w:val="00FB1A9D"/>
    <w:rsid w:val="00FB340A"/>
    <w:rsid w:val="00FB3D69"/>
    <w:rsid w:val="00FB6485"/>
    <w:rsid w:val="00FB6E41"/>
    <w:rsid w:val="00FC0E5A"/>
    <w:rsid w:val="00FC16CC"/>
    <w:rsid w:val="00FC1C8B"/>
    <w:rsid w:val="00FC48C2"/>
    <w:rsid w:val="00FC7C8A"/>
    <w:rsid w:val="00FD1FF8"/>
    <w:rsid w:val="00FD2386"/>
    <w:rsid w:val="00FD710F"/>
    <w:rsid w:val="00FE511C"/>
    <w:rsid w:val="00FE5624"/>
    <w:rsid w:val="00FE618A"/>
    <w:rsid w:val="00FE6AB6"/>
    <w:rsid w:val="00FE77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dgm="http://schemas.openxmlformats.org/drawingml/2006/diagram" xmlns:c="http://schemas.openxmlformats.org/drawingml/2006/chart" xmlns:p="http://schemas.openxmlformats.org/presentationml/2006/main" xmlns:mc="http://schemas.openxmlformats.org/markup-compatibility/2006">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2A04C8"/>
    <w:pPr>
      <w:widowControl w:val="0"/>
      <w:spacing w:before="77" w:after="0" w:line="240" w:lineRule="auto"/>
      <w:ind w:left="166"/>
      <w:outlineLvl w:val="0"/>
    </w:pPr>
    <w:rPr>
      <w:rFonts w:ascii="Times New Roman" w:eastAsia="Times New Roman" w:hAnsi="Times New Roman"/>
      <w:b/>
      <w:bCs/>
      <w:sz w:val="20"/>
      <w:szCs w:val="20"/>
      <w:lang w:val="en-GB"/>
    </w:rPr>
  </w:style>
  <w:style w:type="paragraph" w:styleId="Heading2">
    <w:name w:val="heading 2"/>
    <w:basedOn w:val="Normal"/>
    <w:next w:val="Normal"/>
    <w:link w:val="Heading2Char"/>
    <w:uiPriority w:val="9"/>
    <w:unhideWhenUsed/>
    <w:qFormat/>
    <w:rsid w:val="00D32551"/>
    <w:pPr>
      <w:keepNext/>
      <w:keepLines/>
      <w:spacing w:before="200" w:after="0"/>
      <w:outlineLvl w:val="1"/>
    </w:pPr>
    <w:rPr>
      <w:rFonts w:asciiTheme="majorHAnsi" w:eastAsiaTheme="majorEastAsia" w:hAnsiTheme="majorHAnsi" w:cstheme="majorBidi"/>
      <w:b/>
      <w:bCs/>
      <w:color w:val="00277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75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
    <w:name w:val="Grid Table 4 Accent 2"/>
    <w:basedOn w:val="TableNormal"/>
    <w:uiPriority w:val="49"/>
    <w:rsid w:val="0097515C"/>
    <w:pPr>
      <w:spacing w:after="0" w:line="240" w:lineRule="auto"/>
    </w:pPr>
    <w:tblPr>
      <w:tblStyleRowBandSize w:val="1"/>
      <w:tblStyleColBandSize w:val="1"/>
      <w:tblBorders>
        <w:top w:val="single" w:sz="4" w:space="0" w:color="C6FF4C" w:themeColor="accent2" w:themeTint="99"/>
        <w:left w:val="single" w:sz="4" w:space="0" w:color="C6FF4C" w:themeColor="accent2" w:themeTint="99"/>
        <w:bottom w:val="single" w:sz="4" w:space="0" w:color="C6FF4C" w:themeColor="accent2" w:themeTint="99"/>
        <w:right w:val="single" w:sz="4" w:space="0" w:color="C6FF4C" w:themeColor="accent2" w:themeTint="99"/>
        <w:insideH w:val="single" w:sz="4" w:space="0" w:color="C6FF4C" w:themeColor="accent2" w:themeTint="99"/>
        <w:insideV w:val="single" w:sz="4" w:space="0" w:color="C6FF4C" w:themeColor="accent2" w:themeTint="99"/>
      </w:tblBorders>
    </w:tblPr>
    <w:tblStylePr w:type="firstRow">
      <w:rPr>
        <w:b/>
        <w:bCs/>
        <w:color w:val="FFFFFF" w:themeColor="background1"/>
      </w:rPr>
      <w:tblPr/>
      <w:tcPr>
        <w:tcBorders>
          <w:top w:val="single" w:sz="4" w:space="0" w:color="92D400" w:themeColor="accent2"/>
          <w:left w:val="single" w:sz="4" w:space="0" w:color="92D400" w:themeColor="accent2"/>
          <w:bottom w:val="single" w:sz="4" w:space="0" w:color="92D400" w:themeColor="accent2"/>
          <w:right w:val="single" w:sz="4" w:space="0" w:color="92D400" w:themeColor="accent2"/>
          <w:insideH w:val="nil"/>
          <w:insideV w:val="nil"/>
        </w:tcBorders>
        <w:shd w:val="clear" w:color="auto" w:fill="92D400" w:themeFill="accent2"/>
      </w:tcPr>
    </w:tblStylePr>
    <w:tblStylePr w:type="lastRow">
      <w:rPr>
        <w:b/>
        <w:bCs/>
      </w:rPr>
      <w:tblPr/>
      <w:tcPr>
        <w:tcBorders>
          <w:top w:val="double" w:sz="4" w:space="0" w:color="92D400" w:themeColor="accent2"/>
        </w:tcBorders>
      </w:tcPr>
    </w:tblStylePr>
    <w:tblStylePr w:type="firstCol">
      <w:rPr>
        <w:b/>
        <w:bCs/>
      </w:rPr>
    </w:tblStylePr>
    <w:tblStylePr w:type="lastCol">
      <w:rPr>
        <w:b/>
        <w:bCs/>
      </w:rPr>
    </w:tblStylePr>
    <w:tblStylePr w:type="band1Vert">
      <w:tblPr/>
      <w:tcPr>
        <w:shd w:val="clear" w:color="auto" w:fill="ECFFC3" w:themeFill="accent2" w:themeFillTint="33"/>
      </w:tcPr>
    </w:tblStylePr>
    <w:tblStylePr w:type="band1Horz">
      <w:tblPr/>
      <w:tcPr>
        <w:shd w:val="clear" w:color="auto" w:fill="ECFFC3" w:themeFill="accent2" w:themeFillTint="33"/>
      </w:tcPr>
    </w:tblStylePr>
  </w:style>
  <w:style w:type="character" w:customStyle="1" w:styleId="Heading1Char">
    <w:name w:val="Heading 1 Char"/>
    <w:basedOn w:val="DefaultParagraphFont"/>
    <w:link w:val="Heading1"/>
    <w:uiPriority w:val="1"/>
    <w:rsid w:val="002A04C8"/>
    <w:rPr>
      <w:rFonts w:ascii="Times New Roman" w:eastAsia="Times New Roman" w:hAnsi="Times New Roman"/>
      <w:b/>
      <w:bCs/>
      <w:sz w:val="20"/>
      <w:szCs w:val="20"/>
      <w:lang w:val="en-GB"/>
    </w:rPr>
  </w:style>
  <w:style w:type="paragraph" w:styleId="BodyText">
    <w:name w:val="Body Text"/>
    <w:basedOn w:val="Normal"/>
    <w:link w:val="BodyTextChar"/>
    <w:uiPriority w:val="1"/>
    <w:qFormat/>
    <w:rsid w:val="00E56345"/>
    <w:pPr>
      <w:widowControl w:val="0"/>
      <w:spacing w:before="20" w:after="0" w:line="240" w:lineRule="auto"/>
      <w:ind w:left="166"/>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1"/>
    <w:rsid w:val="00E56345"/>
    <w:rPr>
      <w:rFonts w:ascii="Times New Roman" w:eastAsia="Times New Roman" w:hAnsi="Times New Roman"/>
      <w:sz w:val="20"/>
      <w:szCs w:val="20"/>
      <w:lang w:val="en-GB"/>
    </w:rPr>
  </w:style>
  <w:style w:type="paragraph" w:customStyle="1" w:styleId="TableParagraph">
    <w:name w:val="Table Paragraph"/>
    <w:basedOn w:val="Normal"/>
    <w:uiPriority w:val="1"/>
    <w:qFormat/>
    <w:rsid w:val="003F5865"/>
    <w:pPr>
      <w:widowControl w:val="0"/>
      <w:spacing w:after="0" w:line="240" w:lineRule="auto"/>
    </w:pPr>
    <w:rPr>
      <w:lang w:val="en-GB"/>
    </w:rPr>
  </w:style>
  <w:style w:type="character" w:styleId="Strong">
    <w:name w:val="Strong"/>
    <w:basedOn w:val="DefaultParagraphFont"/>
    <w:uiPriority w:val="22"/>
    <w:qFormat/>
    <w:rsid w:val="001F1602"/>
    <w:rPr>
      <w:b/>
      <w:bCs/>
    </w:rPr>
  </w:style>
  <w:style w:type="paragraph" w:styleId="ListParagraph">
    <w:name w:val="List Paragraph"/>
    <w:basedOn w:val="Normal"/>
    <w:uiPriority w:val="34"/>
    <w:qFormat/>
    <w:rsid w:val="0038157B"/>
    <w:pPr>
      <w:ind w:left="720"/>
      <w:contextualSpacing/>
    </w:pPr>
  </w:style>
  <w:style w:type="character" w:styleId="Emphasis">
    <w:name w:val="Emphasis"/>
    <w:basedOn w:val="DefaultParagraphFont"/>
    <w:uiPriority w:val="20"/>
    <w:qFormat/>
    <w:rsid w:val="00D60DCB"/>
    <w:rPr>
      <w:b/>
      <w:bCs/>
      <w:i w:val="0"/>
      <w:iCs w:val="0"/>
    </w:rPr>
  </w:style>
  <w:style w:type="paragraph" w:customStyle="1" w:styleId="Highlight3">
    <w:name w:val="Highlight 3"/>
    <w:basedOn w:val="Normal"/>
    <w:qFormat/>
    <w:rsid w:val="00D32551"/>
    <w:pPr>
      <w:spacing w:after="120" w:line="240" w:lineRule="auto"/>
      <w:jc w:val="both"/>
    </w:pPr>
    <w:rPr>
      <w:rFonts w:ascii="Arial" w:eastAsia="Times New Roman" w:hAnsi="Arial" w:cs="Times New Roman"/>
      <w:b/>
      <w:color w:val="00A1DE" w:themeColor="accent3"/>
      <w:sz w:val="20"/>
      <w:szCs w:val="24"/>
    </w:rPr>
  </w:style>
  <w:style w:type="character" w:customStyle="1" w:styleId="Heading2Char">
    <w:name w:val="Heading 2 Char"/>
    <w:basedOn w:val="DefaultParagraphFont"/>
    <w:link w:val="Heading2"/>
    <w:uiPriority w:val="9"/>
    <w:rsid w:val="00D32551"/>
    <w:rPr>
      <w:rFonts w:asciiTheme="majorHAnsi" w:eastAsiaTheme="majorEastAsia" w:hAnsiTheme="majorHAnsi" w:cstheme="majorBidi"/>
      <w:b/>
      <w:bCs/>
      <w:color w:val="002776" w:themeColor="accent1"/>
      <w:sz w:val="26"/>
      <w:szCs w:val="26"/>
    </w:rPr>
  </w:style>
  <w:style w:type="paragraph" w:styleId="Header">
    <w:name w:val="header"/>
    <w:basedOn w:val="Normal"/>
    <w:link w:val="HeaderChar"/>
    <w:uiPriority w:val="99"/>
    <w:unhideWhenUsed/>
    <w:rsid w:val="00FE511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511C"/>
  </w:style>
  <w:style w:type="paragraph" w:styleId="Footer">
    <w:name w:val="footer"/>
    <w:basedOn w:val="Normal"/>
    <w:link w:val="FooterChar"/>
    <w:uiPriority w:val="99"/>
    <w:unhideWhenUsed/>
    <w:rsid w:val="00FE511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511C"/>
  </w:style>
  <w:style w:type="paragraph" w:styleId="BalloonText">
    <w:name w:val="Balloon Text"/>
    <w:basedOn w:val="Normal"/>
    <w:link w:val="BalloonTextChar"/>
    <w:uiPriority w:val="99"/>
    <w:semiHidden/>
    <w:unhideWhenUsed/>
    <w:rsid w:val="00FE51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1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2A04C8"/>
    <w:pPr>
      <w:widowControl w:val="0"/>
      <w:spacing w:before="77" w:after="0" w:line="240" w:lineRule="auto"/>
      <w:ind w:left="166"/>
      <w:outlineLvl w:val="0"/>
    </w:pPr>
    <w:rPr>
      <w:rFonts w:ascii="Times New Roman" w:eastAsia="Times New Roman" w:hAnsi="Times New Roman"/>
      <w:b/>
      <w:bCs/>
      <w:sz w:val="20"/>
      <w:szCs w:val="20"/>
      <w:lang w:val="en-US"/>
    </w:rPr>
  </w:style>
  <w:style w:type="paragraph" w:styleId="Heading2">
    <w:name w:val="heading 2"/>
    <w:basedOn w:val="Normal"/>
    <w:next w:val="Normal"/>
    <w:link w:val="Heading2Char"/>
    <w:uiPriority w:val="9"/>
    <w:unhideWhenUsed/>
    <w:qFormat/>
    <w:rsid w:val="00D32551"/>
    <w:pPr>
      <w:keepNext/>
      <w:keepLines/>
      <w:spacing w:before="200" w:after="0"/>
      <w:outlineLvl w:val="1"/>
    </w:pPr>
    <w:rPr>
      <w:rFonts w:asciiTheme="majorHAnsi" w:eastAsiaTheme="majorEastAsia" w:hAnsiTheme="majorHAnsi" w:cstheme="majorBidi"/>
      <w:b/>
      <w:bCs/>
      <w:color w:val="00277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75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
    <w:name w:val="Grid Table 4 Accent 2"/>
    <w:basedOn w:val="TableNormal"/>
    <w:uiPriority w:val="49"/>
    <w:rsid w:val="0097515C"/>
    <w:pPr>
      <w:spacing w:after="0" w:line="240" w:lineRule="auto"/>
    </w:pPr>
    <w:tblPr>
      <w:tblStyleRowBandSize w:val="1"/>
      <w:tblStyleColBandSize w:val="1"/>
      <w:tblBorders>
        <w:top w:val="single" w:sz="4" w:space="0" w:color="C6FF4C" w:themeColor="accent2" w:themeTint="99"/>
        <w:left w:val="single" w:sz="4" w:space="0" w:color="C6FF4C" w:themeColor="accent2" w:themeTint="99"/>
        <w:bottom w:val="single" w:sz="4" w:space="0" w:color="C6FF4C" w:themeColor="accent2" w:themeTint="99"/>
        <w:right w:val="single" w:sz="4" w:space="0" w:color="C6FF4C" w:themeColor="accent2" w:themeTint="99"/>
        <w:insideH w:val="single" w:sz="4" w:space="0" w:color="C6FF4C" w:themeColor="accent2" w:themeTint="99"/>
        <w:insideV w:val="single" w:sz="4" w:space="0" w:color="C6FF4C" w:themeColor="accent2" w:themeTint="99"/>
      </w:tblBorders>
    </w:tblPr>
    <w:tblStylePr w:type="firstRow">
      <w:rPr>
        <w:b/>
        <w:bCs/>
        <w:color w:val="FFFFFF" w:themeColor="background1"/>
      </w:rPr>
      <w:tblPr/>
      <w:tcPr>
        <w:tcBorders>
          <w:top w:val="single" w:sz="4" w:space="0" w:color="92D400" w:themeColor="accent2"/>
          <w:left w:val="single" w:sz="4" w:space="0" w:color="92D400" w:themeColor="accent2"/>
          <w:bottom w:val="single" w:sz="4" w:space="0" w:color="92D400" w:themeColor="accent2"/>
          <w:right w:val="single" w:sz="4" w:space="0" w:color="92D400" w:themeColor="accent2"/>
          <w:insideH w:val="nil"/>
          <w:insideV w:val="nil"/>
        </w:tcBorders>
        <w:shd w:val="clear" w:color="auto" w:fill="92D400" w:themeFill="accent2"/>
      </w:tcPr>
    </w:tblStylePr>
    <w:tblStylePr w:type="lastRow">
      <w:rPr>
        <w:b/>
        <w:bCs/>
      </w:rPr>
      <w:tblPr/>
      <w:tcPr>
        <w:tcBorders>
          <w:top w:val="double" w:sz="4" w:space="0" w:color="92D400" w:themeColor="accent2"/>
        </w:tcBorders>
      </w:tcPr>
    </w:tblStylePr>
    <w:tblStylePr w:type="firstCol">
      <w:rPr>
        <w:b/>
        <w:bCs/>
      </w:rPr>
    </w:tblStylePr>
    <w:tblStylePr w:type="lastCol">
      <w:rPr>
        <w:b/>
        <w:bCs/>
      </w:rPr>
    </w:tblStylePr>
    <w:tblStylePr w:type="band1Vert">
      <w:tblPr/>
      <w:tcPr>
        <w:shd w:val="clear" w:color="auto" w:fill="ECFFC3" w:themeFill="accent2" w:themeFillTint="33"/>
      </w:tcPr>
    </w:tblStylePr>
    <w:tblStylePr w:type="band1Horz">
      <w:tblPr/>
      <w:tcPr>
        <w:shd w:val="clear" w:color="auto" w:fill="ECFFC3" w:themeFill="accent2" w:themeFillTint="33"/>
      </w:tcPr>
    </w:tblStylePr>
  </w:style>
  <w:style w:type="character" w:customStyle="1" w:styleId="Heading1Char">
    <w:name w:val="Heading 1 Char"/>
    <w:basedOn w:val="DefaultParagraphFont"/>
    <w:link w:val="Heading1"/>
    <w:uiPriority w:val="1"/>
    <w:rsid w:val="002A04C8"/>
    <w:rPr>
      <w:rFonts w:ascii="Times New Roman" w:eastAsia="Times New Roman" w:hAnsi="Times New Roman"/>
      <w:b/>
      <w:bCs/>
      <w:sz w:val="20"/>
      <w:szCs w:val="20"/>
      <w:lang w:val="en-US"/>
    </w:rPr>
  </w:style>
  <w:style w:type="paragraph" w:styleId="BodyText">
    <w:name w:val="Body Text"/>
    <w:basedOn w:val="Normal"/>
    <w:link w:val="BodyTextChar"/>
    <w:uiPriority w:val="1"/>
    <w:qFormat/>
    <w:rsid w:val="00E56345"/>
    <w:pPr>
      <w:widowControl w:val="0"/>
      <w:spacing w:before="20" w:after="0" w:line="240" w:lineRule="auto"/>
      <w:ind w:left="166"/>
    </w:pPr>
    <w:rPr>
      <w:rFonts w:ascii="Times New Roman" w:eastAsia="Times New Roman" w:hAnsi="Times New Roman"/>
      <w:sz w:val="20"/>
      <w:szCs w:val="20"/>
      <w:lang w:val="en-US"/>
    </w:rPr>
  </w:style>
  <w:style w:type="character" w:customStyle="1" w:styleId="BodyTextChar">
    <w:name w:val="Body Text Char"/>
    <w:basedOn w:val="DefaultParagraphFont"/>
    <w:link w:val="BodyText"/>
    <w:uiPriority w:val="1"/>
    <w:rsid w:val="00E56345"/>
    <w:rPr>
      <w:rFonts w:ascii="Times New Roman" w:eastAsia="Times New Roman" w:hAnsi="Times New Roman"/>
      <w:sz w:val="20"/>
      <w:szCs w:val="20"/>
      <w:lang w:val="en-US"/>
    </w:rPr>
  </w:style>
  <w:style w:type="paragraph" w:customStyle="1" w:styleId="TableParagraph">
    <w:name w:val="Table Paragraph"/>
    <w:basedOn w:val="Normal"/>
    <w:uiPriority w:val="1"/>
    <w:qFormat/>
    <w:rsid w:val="003F5865"/>
    <w:pPr>
      <w:widowControl w:val="0"/>
      <w:spacing w:after="0" w:line="240" w:lineRule="auto"/>
    </w:pPr>
    <w:rPr>
      <w:lang w:val="en-US"/>
    </w:rPr>
  </w:style>
  <w:style w:type="character" w:styleId="Strong">
    <w:name w:val="Strong"/>
    <w:basedOn w:val="DefaultParagraphFont"/>
    <w:uiPriority w:val="22"/>
    <w:qFormat/>
    <w:rsid w:val="001F1602"/>
    <w:rPr>
      <w:b/>
      <w:bCs/>
    </w:rPr>
  </w:style>
  <w:style w:type="paragraph" w:styleId="ListParagraph">
    <w:name w:val="List Paragraph"/>
    <w:basedOn w:val="Normal"/>
    <w:uiPriority w:val="34"/>
    <w:qFormat/>
    <w:rsid w:val="0038157B"/>
    <w:pPr>
      <w:ind w:left="720"/>
      <w:contextualSpacing/>
    </w:pPr>
  </w:style>
  <w:style w:type="character" w:styleId="Emphasis">
    <w:name w:val="Emphasis"/>
    <w:basedOn w:val="DefaultParagraphFont"/>
    <w:uiPriority w:val="20"/>
    <w:qFormat/>
    <w:rsid w:val="00D60DCB"/>
    <w:rPr>
      <w:b/>
      <w:bCs/>
      <w:i w:val="0"/>
      <w:iCs w:val="0"/>
    </w:rPr>
  </w:style>
  <w:style w:type="paragraph" w:customStyle="1" w:styleId="Highlight3">
    <w:name w:val="Highlight 3"/>
    <w:basedOn w:val="Normal"/>
    <w:qFormat/>
    <w:rsid w:val="00D32551"/>
    <w:pPr>
      <w:spacing w:after="120" w:line="240" w:lineRule="auto"/>
      <w:jc w:val="both"/>
    </w:pPr>
    <w:rPr>
      <w:rFonts w:ascii="Arial" w:eastAsia="Times New Roman" w:hAnsi="Arial" w:cs="Times New Roman"/>
      <w:b/>
      <w:color w:val="00A1DE" w:themeColor="accent3"/>
      <w:sz w:val="20"/>
      <w:szCs w:val="24"/>
    </w:rPr>
  </w:style>
  <w:style w:type="character" w:customStyle="1" w:styleId="Heading2Char">
    <w:name w:val="Heading 2 Char"/>
    <w:basedOn w:val="DefaultParagraphFont"/>
    <w:link w:val="Heading2"/>
    <w:uiPriority w:val="9"/>
    <w:rsid w:val="00D32551"/>
    <w:rPr>
      <w:rFonts w:asciiTheme="majorHAnsi" w:eastAsiaTheme="majorEastAsia" w:hAnsiTheme="majorHAnsi" w:cstheme="majorBidi"/>
      <w:b/>
      <w:bCs/>
      <w:color w:val="002776" w:themeColor="accent1"/>
      <w:sz w:val="26"/>
      <w:szCs w:val="26"/>
    </w:rPr>
  </w:style>
  <w:style w:type="paragraph" w:styleId="Header">
    <w:name w:val="header"/>
    <w:basedOn w:val="Normal"/>
    <w:link w:val="HeaderChar"/>
    <w:uiPriority w:val="99"/>
    <w:unhideWhenUsed/>
    <w:rsid w:val="00FE511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511C"/>
  </w:style>
  <w:style w:type="paragraph" w:styleId="Footer">
    <w:name w:val="footer"/>
    <w:basedOn w:val="Normal"/>
    <w:link w:val="FooterChar"/>
    <w:uiPriority w:val="99"/>
    <w:unhideWhenUsed/>
    <w:rsid w:val="00FE511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511C"/>
  </w:style>
  <w:style w:type="paragraph" w:styleId="BalloonText">
    <w:name w:val="Balloon Text"/>
    <w:basedOn w:val="Normal"/>
    <w:link w:val="BalloonTextChar"/>
    <w:uiPriority w:val="99"/>
    <w:semiHidden/>
    <w:unhideWhenUsed/>
    <w:rsid w:val="00FE51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1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375">
      <w:bodyDiv w:val="1"/>
      <w:marLeft w:val="0"/>
      <w:marRight w:val="0"/>
      <w:marTop w:val="0"/>
      <w:marBottom w:val="0"/>
      <w:divBdr>
        <w:top w:val="none" w:sz="0" w:space="0" w:color="auto"/>
        <w:left w:val="none" w:sz="0" w:space="0" w:color="auto"/>
        <w:bottom w:val="none" w:sz="0" w:space="0" w:color="auto"/>
        <w:right w:val="none" w:sz="0" w:space="0" w:color="auto"/>
      </w:divBdr>
      <w:divsChild>
        <w:div w:id="277764402">
          <w:marLeft w:val="0"/>
          <w:marRight w:val="0"/>
          <w:marTop w:val="0"/>
          <w:marBottom w:val="0"/>
          <w:divBdr>
            <w:top w:val="none" w:sz="0" w:space="0" w:color="auto"/>
            <w:left w:val="none" w:sz="0" w:space="0" w:color="auto"/>
            <w:bottom w:val="none" w:sz="0" w:space="0" w:color="auto"/>
            <w:right w:val="none" w:sz="0" w:space="0" w:color="auto"/>
          </w:divBdr>
          <w:divsChild>
            <w:div w:id="84739613">
              <w:marLeft w:val="0"/>
              <w:marRight w:val="0"/>
              <w:marTop w:val="0"/>
              <w:marBottom w:val="0"/>
              <w:divBdr>
                <w:top w:val="none" w:sz="0" w:space="0" w:color="auto"/>
                <w:left w:val="none" w:sz="0" w:space="0" w:color="auto"/>
                <w:bottom w:val="none" w:sz="0" w:space="0" w:color="auto"/>
                <w:right w:val="none" w:sz="0" w:space="0" w:color="auto"/>
              </w:divBdr>
              <w:divsChild>
                <w:div w:id="2003460243">
                  <w:marLeft w:val="0"/>
                  <w:marRight w:val="0"/>
                  <w:marTop w:val="0"/>
                  <w:marBottom w:val="0"/>
                  <w:divBdr>
                    <w:top w:val="none" w:sz="0" w:space="0" w:color="auto"/>
                    <w:left w:val="none" w:sz="0" w:space="0" w:color="auto"/>
                    <w:bottom w:val="none" w:sz="0" w:space="0" w:color="auto"/>
                    <w:right w:val="none" w:sz="0" w:space="0" w:color="auto"/>
                  </w:divBdr>
                  <w:divsChild>
                    <w:div w:id="1844321235">
                      <w:marLeft w:val="0"/>
                      <w:marRight w:val="0"/>
                      <w:marTop w:val="0"/>
                      <w:marBottom w:val="0"/>
                      <w:divBdr>
                        <w:top w:val="none" w:sz="0" w:space="0" w:color="auto"/>
                        <w:left w:val="none" w:sz="0" w:space="0" w:color="auto"/>
                        <w:bottom w:val="none" w:sz="0" w:space="0" w:color="auto"/>
                        <w:right w:val="none" w:sz="0" w:space="0" w:color="auto"/>
                      </w:divBdr>
                      <w:divsChild>
                        <w:div w:id="426968034">
                          <w:marLeft w:val="0"/>
                          <w:marRight w:val="0"/>
                          <w:marTop w:val="0"/>
                          <w:marBottom w:val="0"/>
                          <w:divBdr>
                            <w:top w:val="none" w:sz="0" w:space="0" w:color="auto"/>
                            <w:left w:val="none" w:sz="0" w:space="0" w:color="auto"/>
                            <w:bottom w:val="none" w:sz="0" w:space="0" w:color="auto"/>
                            <w:right w:val="none" w:sz="0" w:space="0" w:color="auto"/>
                          </w:divBdr>
                          <w:divsChild>
                            <w:div w:id="622156176">
                              <w:marLeft w:val="0"/>
                              <w:marRight w:val="0"/>
                              <w:marTop w:val="0"/>
                              <w:marBottom w:val="0"/>
                              <w:divBdr>
                                <w:top w:val="none" w:sz="0" w:space="0" w:color="auto"/>
                                <w:left w:val="none" w:sz="0" w:space="0" w:color="auto"/>
                                <w:bottom w:val="none" w:sz="0" w:space="0" w:color="auto"/>
                                <w:right w:val="none" w:sz="0" w:space="0" w:color="auto"/>
                              </w:divBdr>
                              <w:divsChild>
                                <w:div w:id="213309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99686">
      <w:bodyDiv w:val="1"/>
      <w:marLeft w:val="0"/>
      <w:marRight w:val="0"/>
      <w:marTop w:val="0"/>
      <w:marBottom w:val="0"/>
      <w:divBdr>
        <w:top w:val="none" w:sz="0" w:space="0" w:color="auto"/>
        <w:left w:val="none" w:sz="0" w:space="0" w:color="auto"/>
        <w:bottom w:val="none" w:sz="0" w:space="0" w:color="auto"/>
        <w:right w:val="none" w:sz="0" w:space="0" w:color="auto"/>
      </w:divBdr>
      <w:divsChild>
        <w:div w:id="947732554">
          <w:marLeft w:val="0"/>
          <w:marRight w:val="0"/>
          <w:marTop w:val="0"/>
          <w:marBottom w:val="0"/>
          <w:divBdr>
            <w:top w:val="none" w:sz="0" w:space="0" w:color="auto"/>
            <w:left w:val="none" w:sz="0" w:space="0" w:color="auto"/>
            <w:bottom w:val="none" w:sz="0" w:space="0" w:color="auto"/>
            <w:right w:val="none" w:sz="0" w:space="0" w:color="auto"/>
          </w:divBdr>
          <w:divsChild>
            <w:div w:id="1457723672">
              <w:marLeft w:val="0"/>
              <w:marRight w:val="0"/>
              <w:marTop w:val="0"/>
              <w:marBottom w:val="0"/>
              <w:divBdr>
                <w:top w:val="none" w:sz="0" w:space="0" w:color="auto"/>
                <w:left w:val="none" w:sz="0" w:space="0" w:color="auto"/>
                <w:bottom w:val="none" w:sz="0" w:space="0" w:color="auto"/>
                <w:right w:val="none" w:sz="0" w:space="0" w:color="auto"/>
              </w:divBdr>
              <w:divsChild>
                <w:div w:id="358818250">
                  <w:marLeft w:val="0"/>
                  <w:marRight w:val="0"/>
                  <w:marTop w:val="0"/>
                  <w:marBottom w:val="0"/>
                  <w:divBdr>
                    <w:top w:val="none" w:sz="0" w:space="0" w:color="auto"/>
                    <w:left w:val="none" w:sz="0" w:space="0" w:color="auto"/>
                    <w:bottom w:val="none" w:sz="0" w:space="0" w:color="auto"/>
                    <w:right w:val="none" w:sz="0" w:space="0" w:color="auto"/>
                  </w:divBdr>
                  <w:divsChild>
                    <w:div w:id="786236143">
                      <w:marLeft w:val="0"/>
                      <w:marRight w:val="0"/>
                      <w:marTop w:val="0"/>
                      <w:marBottom w:val="0"/>
                      <w:divBdr>
                        <w:top w:val="none" w:sz="0" w:space="0" w:color="auto"/>
                        <w:left w:val="none" w:sz="0" w:space="0" w:color="auto"/>
                        <w:bottom w:val="none" w:sz="0" w:space="0" w:color="auto"/>
                        <w:right w:val="none" w:sz="0" w:space="0" w:color="auto"/>
                      </w:divBdr>
                      <w:divsChild>
                        <w:div w:id="70379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35576">
      <w:bodyDiv w:val="1"/>
      <w:marLeft w:val="0"/>
      <w:marRight w:val="0"/>
      <w:marTop w:val="0"/>
      <w:marBottom w:val="0"/>
      <w:divBdr>
        <w:top w:val="none" w:sz="0" w:space="0" w:color="auto"/>
        <w:left w:val="none" w:sz="0" w:space="0" w:color="auto"/>
        <w:bottom w:val="none" w:sz="0" w:space="0" w:color="auto"/>
        <w:right w:val="none" w:sz="0" w:space="0" w:color="auto"/>
      </w:divBdr>
      <w:divsChild>
        <w:div w:id="45226916">
          <w:marLeft w:val="0"/>
          <w:marRight w:val="0"/>
          <w:marTop w:val="0"/>
          <w:marBottom w:val="0"/>
          <w:divBdr>
            <w:top w:val="none" w:sz="0" w:space="0" w:color="auto"/>
            <w:left w:val="none" w:sz="0" w:space="0" w:color="auto"/>
            <w:bottom w:val="none" w:sz="0" w:space="0" w:color="auto"/>
            <w:right w:val="none" w:sz="0" w:space="0" w:color="auto"/>
          </w:divBdr>
          <w:divsChild>
            <w:div w:id="1051341003">
              <w:marLeft w:val="0"/>
              <w:marRight w:val="0"/>
              <w:marTop w:val="0"/>
              <w:marBottom w:val="0"/>
              <w:divBdr>
                <w:top w:val="none" w:sz="0" w:space="0" w:color="auto"/>
                <w:left w:val="none" w:sz="0" w:space="0" w:color="auto"/>
                <w:bottom w:val="none" w:sz="0" w:space="0" w:color="auto"/>
                <w:right w:val="none" w:sz="0" w:space="0" w:color="auto"/>
              </w:divBdr>
              <w:divsChild>
                <w:div w:id="855387728">
                  <w:marLeft w:val="0"/>
                  <w:marRight w:val="0"/>
                  <w:marTop w:val="0"/>
                  <w:marBottom w:val="0"/>
                  <w:divBdr>
                    <w:top w:val="none" w:sz="0" w:space="0" w:color="auto"/>
                    <w:left w:val="none" w:sz="0" w:space="0" w:color="auto"/>
                    <w:bottom w:val="none" w:sz="0" w:space="0" w:color="auto"/>
                    <w:right w:val="none" w:sz="0" w:space="0" w:color="auto"/>
                  </w:divBdr>
                  <w:divsChild>
                    <w:div w:id="1022050597">
                      <w:marLeft w:val="0"/>
                      <w:marRight w:val="0"/>
                      <w:marTop w:val="0"/>
                      <w:marBottom w:val="0"/>
                      <w:divBdr>
                        <w:top w:val="none" w:sz="0" w:space="0" w:color="auto"/>
                        <w:left w:val="none" w:sz="0" w:space="0" w:color="auto"/>
                        <w:bottom w:val="none" w:sz="0" w:space="0" w:color="auto"/>
                        <w:right w:val="none" w:sz="0" w:space="0" w:color="auto"/>
                      </w:divBdr>
                      <w:divsChild>
                        <w:div w:id="626816907">
                          <w:marLeft w:val="0"/>
                          <w:marRight w:val="0"/>
                          <w:marTop w:val="0"/>
                          <w:marBottom w:val="0"/>
                          <w:divBdr>
                            <w:top w:val="none" w:sz="0" w:space="0" w:color="auto"/>
                            <w:left w:val="none" w:sz="0" w:space="0" w:color="auto"/>
                            <w:bottom w:val="none" w:sz="0" w:space="0" w:color="auto"/>
                            <w:right w:val="none" w:sz="0" w:space="0" w:color="auto"/>
                          </w:divBdr>
                          <w:divsChild>
                            <w:div w:id="599682584">
                              <w:marLeft w:val="0"/>
                              <w:marRight w:val="0"/>
                              <w:marTop w:val="0"/>
                              <w:marBottom w:val="0"/>
                              <w:divBdr>
                                <w:top w:val="none" w:sz="0" w:space="0" w:color="auto"/>
                                <w:left w:val="none" w:sz="0" w:space="0" w:color="auto"/>
                                <w:bottom w:val="none" w:sz="0" w:space="0" w:color="auto"/>
                                <w:right w:val="none" w:sz="0" w:space="0" w:color="auto"/>
                              </w:divBdr>
                              <w:divsChild>
                                <w:div w:id="20703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45576">
      <w:bodyDiv w:val="1"/>
      <w:marLeft w:val="0"/>
      <w:marRight w:val="0"/>
      <w:marTop w:val="0"/>
      <w:marBottom w:val="0"/>
      <w:divBdr>
        <w:top w:val="none" w:sz="0" w:space="0" w:color="auto"/>
        <w:left w:val="none" w:sz="0" w:space="0" w:color="auto"/>
        <w:bottom w:val="none" w:sz="0" w:space="0" w:color="auto"/>
        <w:right w:val="none" w:sz="0" w:space="0" w:color="auto"/>
      </w:divBdr>
      <w:divsChild>
        <w:div w:id="630983778">
          <w:marLeft w:val="0"/>
          <w:marRight w:val="0"/>
          <w:marTop w:val="0"/>
          <w:marBottom w:val="0"/>
          <w:divBdr>
            <w:top w:val="none" w:sz="0" w:space="0" w:color="auto"/>
            <w:left w:val="none" w:sz="0" w:space="0" w:color="auto"/>
            <w:bottom w:val="none" w:sz="0" w:space="0" w:color="auto"/>
            <w:right w:val="none" w:sz="0" w:space="0" w:color="auto"/>
          </w:divBdr>
          <w:divsChild>
            <w:div w:id="258030100">
              <w:marLeft w:val="0"/>
              <w:marRight w:val="0"/>
              <w:marTop w:val="0"/>
              <w:marBottom w:val="0"/>
              <w:divBdr>
                <w:top w:val="none" w:sz="0" w:space="0" w:color="auto"/>
                <w:left w:val="none" w:sz="0" w:space="0" w:color="auto"/>
                <w:bottom w:val="none" w:sz="0" w:space="0" w:color="auto"/>
                <w:right w:val="none" w:sz="0" w:space="0" w:color="auto"/>
              </w:divBdr>
              <w:divsChild>
                <w:div w:id="2103721018">
                  <w:marLeft w:val="0"/>
                  <w:marRight w:val="0"/>
                  <w:marTop w:val="0"/>
                  <w:marBottom w:val="0"/>
                  <w:divBdr>
                    <w:top w:val="none" w:sz="0" w:space="0" w:color="auto"/>
                    <w:left w:val="none" w:sz="0" w:space="0" w:color="auto"/>
                    <w:bottom w:val="none" w:sz="0" w:space="0" w:color="auto"/>
                    <w:right w:val="none" w:sz="0" w:space="0" w:color="auto"/>
                  </w:divBdr>
                  <w:divsChild>
                    <w:div w:id="1974552591">
                      <w:marLeft w:val="0"/>
                      <w:marRight w:val="0"/>
                      <w:marTop w:val="0"/>
                      <w:marBottom w:val="0"/>
                      <w:divBdr>
                        <w:top w:val="none" w:sz="0" w:space="0" w:color="auto"/>
                        <w:left w:val="none" w:sz="0" w:space="0" w:color="auto"/>
                        <w:bottom w:val="none" w:sz="0" w:space="0" w:color="auto"/>
                        <w:right w:val="none" w:sz="0" w:space="0" w:color="auto"/>
                      </w:divBdr>
                      <w:divsChild>
                        <w:div w:id="1701660873">
                          <w:marLeft w:val="0"/>
                          <w:marRight w:val="0"/>
                          <w:marTop w:val="0"/>
                          <w:marBottom w:val="0"/>
                          <w:divBdr>
                            <w:top w:val="none" w:sz="0" w:space="0" w:color="auto"/>
                            <w:left w:val="none" w:sz="0" w:space="0" w:color="auto"/>
                            <w:bottom w:val="none" w:sz="0" w:space="0" w:color="auto"/>
                            <w:right w:val="none" w:sz="0" w:space="0" w:color="auto"/>
                          </w:divBdr>
                          <w:divsChild>
                            <w:div w:id="1183284449">
                              <w:marLeft w:val="0"/>
                              <w:marRight w:val="0"/>
                              <w:marTop w:val="0"/>
                              <w:marBottom w:val="0"/>
                              <w:divBdr>
                                <w:top w:val="none" w:sz="0" w:space="0" w:color="auto"/>
                                <w:left w:val="none" w:sz="0" w:space="0" w:color="auto"/>
                                <w:bottom w:val="none" w:sz="0" w:space="0" w:color="auto"/>
                                <w:right w:val="none" w:sz="0" w:space="0" w:color="auto"/>
                              </w:divBdr>
                              <w:divsChild>
                                <w:div w:id="145332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383551">
      <w:bodyDiv w:val="1"/>
      <w:marLeft w:val="0"/>
      <w:marRight w:val="0"/>
      <w:marTop w:val="0"/>
      <w:marBottom w:val="0"/>
      <w:divBdr>
        <w:top w:val="none" w:sz="0" w:space="0" w:color="auto"/>
        <w:left w:val="none" w:sz="0" w:space="0" w:color="auto"/>
        <w:bottom w:val="none" w:sz="0" w:space="0" w:color="auto"/>
        <w:right w:val="none" w:sz="0" w:space="0" w:color="auto"/>
      </w:divBdr>
      <w:divsChild>
        <w:div w:id="618218562">
          <w:marLeft w:val="0"/>
          <w:marRight w:val="0"/>
          <w:marTop w:val="0"/>
          <w:marBottom w:val="0"/>
          <w:divBdr>
            <w:top w:val="none" w:sz="0" w:space="0" w:color="auto"/>
            <w:left w:val="none" w:sz="0" w:space="0" w:color="auto"/>
            <w:bottom w:val="none" w:sz="0" w:space="0" w:color="auto"/>
            <w:right w:val="none" w:sz="0" w:space="0" w:color="auto"/>
          </w:divBdr>
          <w:divsChild>
            <w:div w:id="805440530">
              <w:marLeft w:val="0"/>
              <w:marRight w:val="0"/>
              <w:marTop w:val="0"/>
              <w:marBottom w:val="0"/>
              <w:divBdr>
                <w:top w:val="none" w:sz="0" w:space="0" w:color="auto"/>
                <w:left w:val="none" w:sz="0" w:space="0" w:color="auto"/>
                <w:bottom w:val="none" w:sz="0" w:space="0" w:color="auto"/>
                <w:right w:val="none" w:sz="0" w:space="0" w:color="auto"/>
              </w:divBdr>
              <w:divsChild>
                <w:div w:id="1860073962">
                  <w:marLeft w:val="0"/>
                  <w:marRight w:val="0"/>
                  <w:marTop w:val="0"/>
                  <w:marBottom w:val="0"/>
                  <w:divBdr>
                    <w:top w:val="none" w:sz="0" w:space="0" w:color="auto"/>
                    <w:left w:val="none" w:sz="0" w:space="0" w:color="auto"/>
                    <w:bottom w:val="none" w:sz="0" w:space="0" w:color="auto"/>
                    <w:right w:val="none" w:sz="0" w:space="0" w:color="auto"/>
                  </w:divBdr>
                  <w:divsChild>
                    <w:div w:id="52969860">
                      <w:marLeft w:val="0"/>
                      <w:marRight w:val="0"/>
                      <w:marTop w:val="0"/>
                      <w:marBottom w:val="0"/>
                      <w:divBdr>
                        <w:top w:val="none" w:sz="0" w:space="0" w:color="auto"/>
                        <w:left w:val="none" w:sz="0" w:space="0" w:color="auto"/>
                        <w:bottom w:val="none" w:sz="0" w:space="0" w:color="auto"/>
                        <w:right w:val="none" w:sz="0" w:space="0" w:color="auto"/>
                      </w:divBdr>
                      <w:divsChild>
                        <w:div w:id="2015918762">
                          <w:marLeft w:val="0"/>
                          <w:marRight w:val="0"/>
                          <w:marTop w:val="0"/>
                          <w:marBottom w:val="0"/>
                          <w:divBdr>
                            <w:top w:val="none" w:sz="0" w:space="0" w:color="auto"/>
                            <w:left w:val="none" w:sz="0" w:space="0" w:color="auto"/>
                            <w:bottom w:val="none" w:sz="0" w:space="0" w:color="auto"/>
                            <w:right w:val="none" w:sz="0" w:space="0" w:color="auto"/>
                          </w:divBdr>
                          <w:divsChild>
                            <w:div w:id="1175220585">
                              <w:marLeft w:val="0"/>
                              <w:marRight w:val="0"/>
                              <w:marTop w:val="0"/>
                              <w:marBottom w:val="0"/>
                              <w:divBdr>
                                <w:top w:val="none" w:sz="0" w:space="0" w:color="auto"/>
                                <w:left w:val="none" w:sz="0" w:space="0" w:color="auto"/>
                                <w:bottom w:val="none" w:sz="0" w:space="0" w:color="auto"/>
                                <w:right w:val="none" w:sz="0" w:space="0" w:color="auto"/>
                              </w:divBdr>
                              <w:divsChild>
                                <w:div w:id="105095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908250">
      <w:bodyDiv w:val="1"/>
      <w:marLeft w:val="0"/>
      <w:marRight w:val="0"/>
      <w:marTop w:val="0"/>
      <w:marBottom w:val="0"/>
      <w:divBdr>
        <w:top w:val="none" w:sz="0" w:space="0" w:color="auto"/>
        <w:left w:val="none" w:sz="0" w:space="0" w:color="auto"/>
        <w:bottom w:val="none" w:sz="0" w:space="0" w:color="auto"/>
        <w:right w:val="none" w:sz="0" w:space="0" w:color="auto"/>
      </w:divBdr>
      <w:divsChild>
        <w:div w:id="536814539">
          <w:marLeft w:val="0"/>
          <w:marRight w:val="0"/>
          <w:marTop w:val="0"/>
          <w:marBottom w:val="0"/>
          <w:divBdr>
            <w:top w:val="none" w:sz="0" w:space="0" w:color="auto"/>
            <w:left w:val="none" w:sz="0" w:space="0" w:color="auto"/>
            <w:bottom w:val="none" w:sz="0" w:space="0" w:color="auto"/>
            <w:right w:val="none" w:sz="0" w:space="0" w:color="auto"/>
          </w:divBdr>
          <w:divsChild>
            <w:div w:id="829102423">
              <w:marLeft w:val="0"/>
              <w:marRight w:val="0"/>
              <w:marTop w:val="0"/>
              <w:marBottom w:val="0"/>
              <w:divBdr>
                <w:top w:val="none" w:sz="0" w:space="0" w:color="auto"/>
                <w:left w:val="none" w:sz="0" w:space="0" w:color="auto"/>
                <w:bottom w:val="none" w:sz="0" w:space="0" w:color="auto"/>
                <w:right w:val="none" w:sz="0" w:space="0" w:color="auto"/>
              </w:divBdr>
              <w:divsChild>
                <w:div w:id="459811007">
                  <w:marLeft w:val="0"/>
                  <w:marRight w:val="0"/>
                  <w:marTop w:val="0"/>
                  <w:marBottom w:val="0"/>
                  <w:divBdr>
                    <w:top w:val="none" w:sz="0" w:space="0" w:color="auto"/>
                    <w:left w:val="none" w:sz="0" w:space="0" w:color="auto"/>
                    <w:bottom w:val="none" w:sz="0" w:space="0" w:color="auto"/>
                    <w:right w:val="none" w:sz="0" w:space="0" w:color="auto"/>
                  </w:divBdr>
                  <w:divsChild>
                    <w:div w:id="1281642829">
                      <w:marLeft w:val="0"/>
                      <w:marRight w:val="0"/>
                      <w:marTop w:val="0"/>
                      <w:marBottom w:val="0"/>
                      <w:divBdr>
                        <w:top w:val="none" w:sz="0" w:space="0" w:color="auto"/>
                        <w:left w:val="none" w:sz="0" w:space="0" w:color="auto"/>
                        <w:bottom w:val="none" w:sz="0" w:space="0" w:color="auto"/>
                        <w:right w:val="none" w:sz="0" w:space="0" w:color="auto"/>
                      </w:divBdr>
                      <w:divsChild>
                        <w:div w:id="1103916982">
                          <w:marLeft w:val="0"/>
                          <w:marRight w:val="0"/>
                          <w:marTop w:val="0"/>
                          <w:marBottom w:val="0"/>
                          <w:divBdr>
                            <w:top w:val="none" w:sz="0" w:space="0" w:color="auto"/>
                            <w:left w:val="none" w:sz="0" w:space="0" w:color="auto"/>
                            <w:bottom w:val="none" w:sz="0" w:space="0" w:color="auto"/>
                            <w:right w:val="none" w:sz="0" w:space="0" w:color="auto"/>
                          </w:divBdr>
                          <w:divsChild>
                            <w:div w:id="1080637322">
                              <w:marLeft w:val="0"/>
                              <w:marRight w:val="0"/>
                              <w:marTop w:val="0"/>
                              <w:marBottom w:val="0"/>
                              <w:divBdr>
                                <w:top w:val="none" w:sz="0" w:space="0" w:color="auto"/>
                                <w:left w:val="none" w:sz="0" w:space="0" w:color="auto"/>
                                <w:bottom w:val="none" w:sz="0" w:space="0" w:color="auto"/>
                                <w:right w:val="none" w:sz="0" w:space="0" w:color="auto"/>
                              </w:divBdr>
                              <w:divsChild>
                                <w:div w:id="146777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8950983">
      <w:bodyDiv w:val="1"/>
      <w:marLeft w:val="0"/>
      <w:marRight w:val="0"/>
      <w:marTop w:val="0"/>
      <w:marBottom w:val="0"/>
      <w:divBdr>
        <w:top w:val="none" w:sz="0" w:space="0" w:color="auto"/>
        <w:left w:val="none" w:sz="0" w:space="0" w:color="auto"/>
        <w:bottom w:val="none" w:sz="0" w:space="0" w:color="auto"/>
        <w:right w:val="none" w:sz="0" w:space="0" w:color="auto"/>
      </w:divBdr>
      <w:divsChild>
        <w:div w:id="1619724958">
          <w:marLeft w:val="0"/>
          <w:marRight w:val="0"/>
          <w:marTop w:val="0"/>
          <w:marBottom w:val="0"/>
          <w:divBdr>
            <w:top w:val="none" w:sz="0" w:space="0" w:color="auto"/>
            <w:left w:val="none" w:sz="0" w:space="0" w:color="auto"/>
            <w:bottom w:val="none" w:sz="0" w:space="0" w:color="auto"/>
            <w:right w:val="none" w:sz="0" w:space="0" w:color="auto"/>
          </w:divBdr>
          <w:divsChild>
            <w:div w:id="213976847">
              <w:marLeft w:val="0"/>
              <w:marRight w:val="0"/>
              <w:marTop w:val="0"/>
              <w:marBottom w:val="0"/>
              <w:divBdr>
                <w:top w:val="none" w:sz="0" w:space="0" w:color="auto"/>
                <w:left w:val="none" w:sz="0" w:space="0" w:color="auto"/>
                <w:bottom w:val="none" w:sz="0" w:space="0" w:color="auto"/>
                <w:right w:val="none" w:sz="0" w:space="0" w:color="auto"/>
              </w:divBdr>
              <w:divsChild>
                <w:div w:id="1844471315">
                  <w:marLeft w:val="0"/>
                  <w:marRight w:val="0"/>
                  <w:marTop w:val="0"/>
                  <w:marBottom w:val="0"/>
                  <w:divBdr>
                    <w:top w:val="none" w:sz="0" w:space="0" w:color="auto"/>
                    <w:left w:val="none" w:sz="0" w:space="0" w:color="auto"/>
                    <w:bottom w:val="none" w:sz="0" w:space="0" w:color="auto"/>
                    <w:right w:val="none" w:sz="0" w:space="0" w:color="auto"/>
                  </w:divBdr>
                  <w:divsChild>
                    <w:div w:id="579683022">
                      <w:marLeft w:val="0"/>
                      <w:marRight w:val="0"/>
                      <w:marTop w:val="0"/>
                      <w:marBottom w:val="0"/>
                      <w:divBdr>
                        <w:top w:val="none" w:sz="0" w:space="0" w:color="auto"/>
                        <w:left w:val="none" w:sz="0" w:space="0" w:color="auto"/>
                        <w:bottom w:val="none" w:sz="0" w:space="0" w:color="auto"/>
                        <w:right w:val="none" w:sz="0" w:space="0" w:color="auto"/>
                      </w:divBdr>
                      <w:divsChild>
                        <w:div w:id="379285229">
                          <w:marLeft w:val="0"/>
                          <w:marRight w:val="0"/>
                          <w:marTop w:val="0"/>
                          <w:marBottom w:val="0"/>
                          <w:divBdr>
                            <w:top w:val="none" w:sz="0" w:space="0" w:color="auto"/>
                            <w:left w:val="none" w:sz="0" w:space="0" w:color="auto"/>
                            <w:bottom w:val="none" w:sz="0" w:space="0" w:color="auto"/>
                            <w:right w:val="none" w:sz="0" w:space="0" w:color="auto"/>
                          </w:divBdr>
                          <w:divsChild>
                            <w:div w:id="1680035439">
                              <w:marLeft w:val="0"/>
                              <w:marRight w:val="0"/>
                              <w:marTop w:val="0"/>
                              <w:marBottom w:val="0"/>
                              <w:divBdr>
                                <w:top w:val="none" w:sz="0" w:space="0" w:color="auto"/>
                                <w:left w:val="none" w:sz="0" w:space="0" w:color="auto"/>
                                <w:bottom w:val="none" w:sz="0" w:space="0" w:color="auto"/>
                                <w:right w:val="none" w:sz="0" w:space="0" w:color="auto"/>
                              </w:divBdr>
                              <w:divsChild>
                                <w:div w:id="213243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endnotes" Target="endnotes.xml" /><Relationship Id="rId3" Type="http://schemas.openxmlformats.org/officeDocument/2006/relationships/styles" Target="styles.xml" /><Relationship Id="rId7" Type="http://schemas.openxmlformats.org/officeDocument/2006/relationships/footnotes" Target="foot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webSettings" Target="webSettings.xml" /><Relationship Id="rId11" Type="http://schemas.openxmlformats.org/officeDocument/2006/relationships/theme" Target="theme/theme1.xml" /><Relationship Id="rId5" Type="http://schemas.openxmlformats.org/officeDocument/2006/relationships/settings" Target="settings.xml" /><Relationship Id="rId10" Type="http://schemas.openxmlformats.org/officeDocument/2006/relationships/fontTable" Target="fontTable.xml" /><Relationship Id="rId4" Type="http://schemas.microsoft.com/office/2007/relationships/stylesWithEffects" Target="stylesWithEffects.xml" /><Relationship Id="rId9" Type="http://schemas.openxmlformats.org/officeDocument/2006/relationships/header" Target="header1.xml" /></Relationships>
</file>

<file path=word/_rels/header1.xml.rels><?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4406-1845-4D2B-A8B2-5C4315025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5</Pages>
  <Words>1113</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Jirman, Petr (CZ - Prague)</dc:creator>
  <cp:keywords/>
  <dc:description/>
  <cp:lastModifiedBy>Ales Zatloukal</cp:lastModifiedBy>
  <cp:revision>23</cp:revision>
  <dcterms:created xsi:type="dcterms:W3CDTF">2014-09-17T08:12:00Z</dcterms:created>
  <dcterms:modified xsi:type="dcterms:W3CDTF">2015-02-05T20:15:00Z</dcterms:modified>
</cp:coreProperties>
</file>